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1" w:rsidRPr="000E0A51" w:rsidRDefault="000A4EF0" w:rsidP="000A4EF0">
      <w:pPr>
        <w:ind w:left="-1134"/>
        <w:rPr>
          <w:rFonts w:eastAsia="Cambria" w:cs="Arial"/>
          <w:color w:val="5C78B4"/>
          <w:spacing w:val="-3"/>
          <w:szCs w:val="22"/>
          <w:lang w:val="en-GB"/>
        </w:rPr>
      </w:pPr>
      <w:r>
        <w:rPr>
          <w:noProof/>
          <w:lang w:val="en-AU" w:eastAsia="en-AU"/>
        </w:rPr>
        <w:drawing>
          <wp:inline distT="0" distB="0" distL="0" distR="0" wp14:anchorId="343D469D" wp14:editId="190EBEE6">
            <wp:extent cx="7547320" cy="1070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61089" cy="10728866"/>
                    </a:xfrm>
                    <a:prstGeom prst="rect">
                      <a:avLst/>
                    </a:prstGeom>
                  </pic:spPr>
                </pic:pic>
              </a:graphicData>
            </a:graphic>
          </wp:inline>
        </w:drawing>
      </w:r>
      <w:bookmarkStart w:id="0" w:name="_GoBack"/>
      <w:bookmarkEnd w:id="0"/>
      <w:r w:rsidR="000E0A51" w:rsidRPr="000E0A51">
        <w:rPr>
          <w:rFonts w:cs="Arial"/>
          <w:spacing w:val="-3"/>
          <w:szCs w:val="22"/>
        </w:rPr>
        <w:br w:type="page"/>
      </w:r>
    </w:p>
    <w:p w:rsidR="000A4EF0" w:rsidRDefault="000A4EF0">
      <w:pPr>
        <w:rPr>
          <w:b/>
          <w:bCs/>
          <w:noProof/>
          <w:color w:val="4F6228" w:themeColor="accent3" w:themeShade="80"/>
        </w:rPr>
      </w:pPr>
    </w:p>
    <w:p w:rsidR="000A4EF0" w:rsidRDefault="000A4EF0">
      <w:pPr>
        <w:rPr>
          <w:b/>
          <w:bCs/>
          <w:noProof/>
          <w:color w:val="4F6228" w:themeColor="accent3" w:themeShade="80"/>
        </w:rPr>
      </w:pPr>
    </w:p>
    <w:p w:rsidR="0093692F" w:rsidRPr="003E5D4E" w:rsidRDefault="0093692F">
      <w:pPr>
        <w:rPr>
          <w:b/>
          <w:bCs/>
          <w:noProof/>
          <w:color w:val="4F6228" w:themeColor="accent3" w:themeShade="80"/>
        </w:rPr>
      </w:pPr>
      <w:r w:rsidRPr="003E5D4E">
        <w:rPr>
          <w:b/>
          <w:bCs/>
          <w:noProof/>
          <w:color w:val="4F6228" w:themeColor="accent3" w:themeShade="8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50"/>
      </w:tblGrid>
      <w:tr w:rsidR="0093692F" w:rsidTr="003E5D4E">
        <w:tc>
          <w:tcPr>
            <w:tcW w:w="5382" w:type="dxa"/>
          </w:tcPr>
          <w:p w:rsidR="0093692F" w:rsidRDefault="0093692F">
            <w:pPr>
              <w:rPr>
                <w:b/>
                <w:bCs/>
                <w:noProof/>
              </w:rPr>
            </w:pPr>
          </w:p>
        </w:tc>
        <w:tc>
          <w:tcPr>
            <w:tcW w:w="850" w:type="dxa"/>
          </w:tcPr>
          <w:p w:rsidR="0093692F" w:rsidRPr="0093692F" w:rsidRDefault="0093692F" w:rsidP="0093692F">
            <w:pPr>
              <w:jc w:val="right"/>
              <w:rPr>
                <w:b/>
                <w:bCs/>
                <w:i/>
                <w:noProof/>
              </w:rPr>
            </w:pPr>
            <w:r w:rsidRPr="0093692F">
              <w:rPr>
                <w:b/>
                <w:bCs/>
                <w:i/>
                <w:noProof/>
              </w:rPr>
              <w:t>Page</w:t>
            </w:r>
          </w:p>
        </w:tc>
      </w:tr>
      <w:tr w:rsidR="0093692F" w:rsidTr="003E5D4E">
        <w:tc>
          <w:tcPr>
            <w:tcW w:w="5382" w:type="dxa"/>
          </w:tcPr>
          <w:p w:rsidR="0093692F" w:rsidRPr="003E5D4E" w:rsidRDefault="0093692F" w:rsidP="003E5D4E">
            <w:pPr>
              <w:rPr>
                <w:bCs/>
                <w:noProof/>
              </w:rPr>
            </w:pPr>
            <w:r w:rsidRPr="003E5D4E">
              <w:rPr>
                <w:bCs/>
                <w:noProof/>
              </w:rPr>
              <w:t>Acknowledgement of Country</w:t>
            </w:r>
          </w:p>
        </w:tc>
        <w:tc>
          <w:tcPr>
            <w:tcW w:w="850" w:type="dxa"/>
          </w:tcPr>
          <w:p w:rsidR="0093692F" w:rsidRPr="003E5D4E" w:rsidRDefault="0093692F" w:rsidP="003E5D4E">
            <w:pPr>
              <w:jc w:val="right"/>
              <w:rPr>
                <w:bCs/>
                <w:noProof/>
              </w:rPr>
            </w:pPr>
            <w:r w:rsidRPr="003E5D4E">
              <w:rPr>
                <w:bCs/>
                <w:noProof/>
              </w:rPr>
              <w:t>2</w:t>
            </w:r>
          </w:p>
        </w:tc>
      </w:tr>
      <w:tr w:rsidR="0093692F" w:rsidTr="003E5D4E">
        <w:tc>
          <w:tcPr>
            <w:tcW w:w="5382" w:type="dxa"/>
          </w:tcPr>
          <w:p w:rsidR="0093692F" w:rsidRPr="003E5D4E" w:rsidRDefault="003E5D4E" w:rsidP="003E5D4E">
            <w:pPr>
              <w:pStyle w:val="ListParagraph"/>
              <w:numPr>
                <w:ilvl w:val="0"/>
                <w:numId w:val="25"/>
              </w:numPr>
              <w:rPr>
                <w:bCs/>
                <w:noProof/>
              </w:rPr>
            </w:pPr>
            <w:r w:rsidRPr="003E5D4E">
              <w:rPr>
                <w:bCs/>
                <w:noProof/>
              </w:rPr>
              <w:t>Purpose</w:t>
            </w:r>
          </w:p>
        </w:tc>
        <w:tc>
          <w:tcPr>
            <w:tcW w:w="850" w:type="dxa"/>
          </w:tcPr>
          <w:p w:rsidR="0093692F" w:rsidRPr="003E5D4E" w:rsidRDefault="003E5D4E" w:rsidP="003E5D4E">
            <w:pPr>
              <w:jc w:val="right"/>
              <w:rPr>
                <w:bCs/>
                <w:noProof/>
              </w:rPr>
            </w:pPr>
            <w:r w:rsidRPr="003E5D4E">
              <w:rPr>
                <w:bCs/>
                <w:noProof/>
              </w:rPr>
              <w:t>2</w:t>
            </w:r>
          </w:p>
        </w:tc>
      </w:tr>
      <w:tr w:rsidR="0093692F" w:rsidTr="003E5D4E">
        <w:tc>
          <w:tcPr>
            <w:tcW w:w="5382" w:type="dxa"/>
          </w:tcPr>
          <w:p w:rsidR="0093692F" w:rsidRPr="003E5D4E" w:rsidRDefault="003E5D4E" w:rsidP="003E5D4E">
            <w:pPr>
              <w:pStyle w:val="ListParagraph"/>
              <w:numPr>
                <w:ilvl w:val="0"/>
                <w:numId w:val="25"/>
              </w:numPr>
              <w:rPr>
                <w:bCs/>
                <w:noProof/>
              </w:rPr>
            </w:pPr>
            <w:r w:rsidRPr="003E5D4E">
              <w:rPr>
                <w:bCs/>
                <w:noProof/>
              </w:rPr>
              <w:t>Summary</w:t>
            </w:r>
          </w:p>
        </w:tc>
        <w:tc>
          <w:tcPr>
            <w:tcW w:w="850" w:type="dxa"/>
          </w:tcPr>
          <w:p w:rsidR="0093692F" w:rsidRPr="003E5D4E" w:rsidRDefault="00412608" w:rsidP="003E5D4E">
            <w:pPr>
              <w:jc w:val="right"/>
              <w:rPr>
                <w:bCs/>
                <w:noProof/>
              </w:rPr>
            </w:pPr>
            <w:r>
              <w:rPr>
                <w:bCs/>
                <w:noProof/>
              </w:rPr>
              <w:t xml:space="preserve"> </w:t>
            </w:r>
            <w:r w:rsidR="003E5D4E" w:rsidRPr="003E5D4E">
              <w:rPr>
                <w:bCs/>
                <w:noProof/>
              </w:rPr>
              <w:t>2</w:t>
            </w:r>
          </w:p>
        </w:tc>
      </w:tr>
      <w:tr w:rsidR="0093692F" w:rsidTr="003E5D4E">
        <w:tc>
          <w:tcPr>
            <w:tcW w:w="5382" w:type="dxa"/>
          </w:tcPr>
          <w:p w:rsidR="0093692F" w:rsidRPr="003E5D4E" w:rsidRDefault="003E5D4E" w:rsidP="003E5D4E">
            <w:pPr>
              <w:pStyle w:val="ListParagraph"/>
              <w:numPr>
                <w:ilvl w:val="0"/>
                <w:numId w:val="25"/>
              </w:numPr>
              <w:rPr>
                <w:bCs/>
                <w:noProof/>
              </w:rPr>
            </w:pPr>
            <w:r>
              <w:rPr>
                <w:bCs/>
                <w:noProof/>
              </w:rPr>
              <w:t>General Rates Income</w:t>
            </w:r>
          </w:p>
        </w:tc>
        <w:tc>
          <w:tcPr>
            <w:tcW w:w="850" w:type="dxa"/>
          </w:tcPr>
          <w:p w:rsidR="0093692F" w:rsidRPr="003E5D4E" w:rsidRDefault="003E5D4E" w:rsidP="003E5D4E">
            <w:pPr>
              <w:jc w:val="right"/>
              <w:rPr>
                <w:bCs/>
                <w:noProof/>
              </w:rPr>
            </w:pPr>
            <w:r>
              <w:rPr>
                <w:bCs/>
                <w:noProof/>
              </w:rPr>
              <w:t>3</w:t>
            </w:r>
          </w:p>
        </w:tc>
      </w:tr>
      <w:tr w:rsidR="0093692F" w:rsidTr="003E5D4E">
        <w:tc>
          <w:tcPr>
            <w:tcW w:w="5382" w:type="dxa"/>
          </w:tcPr>
          <w:p w:rsidR="0093692F" w:rsidRPr="003E5D4E" w:rsidRDefault="003E5D4E" w:rsidP="003E5D4E">
            <w:pPr>
              <w:ind w:left="720"/>
              <w:rPr>
                <w:bCs/>
                <w:noProof/>
              </w:rPr>
            </w:pPr>
            <w:r w:rsidRPr="003E5D4E">
              <w:rPr>
                <w:bCs/>
                <w:noProof/>
              </w:rPr>
              <w:t>3.1 Valuation Base</w:t>
            </w:r>
          </w:p>
        </w:tc>
        <w:tc>
          <w:tcPr>
            <w:tcW w:w="850" w:type="dxa"/>
          </w:tcPr>
          <w:p w:rsidR="0093692F" w:rsidRPr="003E5D4E" w:rsidRDefault="003E5D4E" w:rsidP="003E5D4E">
            <w:pPr>
              <w:jc w:val="right"/>
              <w:rPr>
                <w:bCs/>
                <w:noProof/>
              </w:rPr>
            </w:pPr>
            <w:r>
              <w:rPr>
                <w:bCs/>
                <w:noProof/>
              </w:rPr>
              <w:t>3</w:t>
            </w:r>
          </w:p>
        </w:tc>
      </w:tr>
      <w:tr w:rsidR="0093692F" w:rsidTr="003E5D4E">
        <w:tc>
          <w:tcPr>
            <w:tcW w:w="5382" w:type="dxa"/>
          </w:tcPr>
          <w:p w:rsidR="0093692F" w:rsidRPr="003E5D4E" w:rsidRDefault="003E5D4E" w:rsidP="003E5D4E">
            <w:pPr>
              <w:ind w:left="720"/>
              <w:rPr>
                <w:bCs/>
                <w:noProof/>
              </w:rPr>
            </w:pPr>
            <w:r>
              <w:rPr>
                <w:bCs/>
                <w:noProof/>
              </w:rPr>
              <w:t>3.2 Differential Rates</w:t>
            </w:r>
          </w:p>
        </w:tc>
        <w:tc>
          <w:tcPr>
            <w:tcW w:w="850" w:type="dxa"/>
          </w:tcPr>
          <w:p w:rsidR="0093692F" w:rsidRPr="003E5D4E" w:rsidRDefault="003E5D4E" w:rsidP="003E5D4E">
            <w:pPr>
              <w:jc w:val="right"/>
              <w:rPr>
                <w:bCs/>
                <w:noProof/>
              </w:rPr>
            </w:pPr>
            <w:r>
              <w:rPr>
                <w:bCs/>
                <w:noProof/>
              </w:rPr>
              <w:t>4</w:t>
            </w:r>
          </w:p>
        </w:tc>
      </w:tr>
      <w:tr w:rsidR="0093692F" w:rsidTr="003E5D4E">
        <w:tc>
          <w:tcPr>
            <w:tcW w:w="5382" w:type="dxa"/>
          </w:tcPr>
          <w:p w:rsidR="0093692F" w:rsidRPr="003E5D4E" w:rsidRDefault="003E5D4E" w:rsidP="003E5D4E">
            <w:pPr>
              <w:ind w:left="720"/>
              <w:rPr>
                <w:bCs/>
                <w:noProof/>
              </w:rPr>
            </w:pPr>
            <w:r>
              <w:rPr>
                <w:bCs/>
                <w:noProof/>
              </w:rPr>
              <w:t>3.3 Proposed Rating System</w:t>
            </w:r>
          </w:p>
        </w:tc>
        <w:tc>
          <w:tcPr>
            <w:tcW w:w="850" w:type="dxa"/>
          </w:tcPr>
          <w:p w:rsidR="0093692F" w:rsidRPr="003E5D4E" w:rsidRDefault="003E5D4E" w:rsidP="003E5D4E">
            <w:pPr>
              <w:jc w:val="right"/>
              <w:rPr>
                <w:bCs/>
                <w:noProof/>
              </w:rPr>
            </w:pPr>
            <w:r>
              <w:rPr>
                <w:bCs/>
                <w:noProof/>
              </w:rPr>
              <w:t>5</w:t>
            </w:r>
          </w:p>
        </w:tc>
      </w:tr>
      <w:tr w:rsidR="0093692F" w:rsidTr="003E5D4E">
        <w:tc>
          <w:tcPr>
            <w:tcW w:w="5382" w:type="dxa"/>
          </w:tcPr>
          <w:p w:rsidR="0093692F" w:rsidRPr="003E5D4E" w:rsidRDefault="003E5D4E" w:rsidP="003E5D4E">
            <w:pPr>
              <w:ind w:left="720"/>
              <w:rPr>
                <w:bCs/>
                <w:noProof/>
              </w:rPr>
            </w:pPr>
            <w:r>
              <w:rPr>
                <w:bCs/>
                <w:noProof/>
              </w:rPr>
              <w:t>3.4 Waste Service Charge</w:t>
            </w:r>
          </w:p>
        </w:tc>
        <w:tc>
          <w:tcPr>
            <w:tcW w:w="850" w:type="dxa"/>
          </w:tcPr>
          <w:p w:rsidR="0093692F" w:rsidRPr="003E5D4E" w:rsidRDefault="003E5D4E" w:rsidP="003E5D4E">
            <w:pPr>
              <w:jc w:val="right"/>
              <w:rPr>
                <w:bCs/>
                <w:noProof/>
              </w:rPr>
            </w:pPr>
            <w:r>
              <w:rPr>
                <w:bCs/>
                <w:noProof/>
              </w:rPr>
              <w:t>6</w:t>
            </w:r>
          </w:p>
        </w:tc>
      </w:tr>
      <w:tr w:rsidR="0093692F" w:rsidTr="003E5D4E">
        <w:tc>
          <w:tcPr>
            <w:tcW w:w="5382" w:type="dxa"/>
          </w:tcPr>
          <w:p w:rsidR="0093692F" w:rsidRPr="003E5D4E" w:rsidRDefault="003E5D4E" w:rsidP="003E5D4E">
            <w:pPr>
              <w:ind w:left="720"/>
              <w:rPr>
                <w:bCs/>
                <w:noProof/>
              </w:rPr>
            </w:pPr>
            <w:r>
              <w:rPr>
                <w:bCs/>
                <w:noProof/>
              </w:rPr>
              <w:t>3.5 Rate Instalment Due Dates</w:t>
            </w:r>
          </w:p>
        </w:tc>
        <w:tc>
          <w:tcPr>
            <w:tcW w:w="850" w:type="dxa"/>
          </w:tcPr>
          <w:p w:rsidR="0093692F" w:rsidRPr="003E5D4E" w:rsidRDefault="003E5D4E" w:rsidP="003E5D4E">
            <w:pPr>
              <w:jc w:val="right"/>
              <w:rPr>
                <w:bCs/>
                <w:noProof/>
              </w:rPr>
            </w:pPr>
            <w:r>
              <w:rPr>
                <w:bCs/>
                <w:noProof/>
              </w:rPr>
              <w:t>6</w:t>
            </w:r>
          </w:p>
        </w:tc>
      </w:tr>
      <w:tr w:rsidR="0093692F" w:rsidTr="003E5D4E">
        <w:tc>
          <w:tcPr>
            <w:tcW w:w="5382" w:type="dxa"/>
          </w:tcPr>
          <w:p w:rsidR="0093692F" w:rsidRPr="003E5D4E" w:rsidRDefault="003E5D4E" w:rsidP="003E5D4E">
            <w:pPr>
              <w:ind w:left="720"/>
              <w:rPr>
                <w:bCs/>
                <w:noProof/>
              </w:rPr>
            </w:pPr>
            <w:r>
              <w:rPr>
                <w:bCs/>
                <w:noProof/>
              </w:rPr>
              <w:t>3.6 Rates – Summary</w:t>
            </w:r>
          </w:p>
        </w:tc>
        <w:tc>
          <w:tcPr>
            <w:tcW w:w="850" w:type="dxa"/>
          </w:tcPr>
          <w:p w:rsidR="0093692F" w:rsidRPr="003E5D4E" w:rsidRDefault="003E5D4E" w:rsidP="003E5D4E">
            <w:pPr>
              <w:jc w:val="right"/>
              <w:rPr>
                <w:bCs/>
                <w:noProof/>
              </w:rPr>
            </w:pPr>
            <w:r>
              <w:rPr>
                <w:bCs/>
                <w:noProof/>
              </w:rPr>
              <w:t>6</w:t>
            </w:r>
          </w:p>
        </w:tc>
      </w:tr>
      <w:tr w:rsidR="0093692F" w:rsidTr="003E5D4E">
        <w:tc>
          <w:tcPr>
            <w:tcW w:w="5382" w:type="dxa"/>
          </w:tcPr>
          <w:p w:rsidR="0093692F" w:rsidRPr="003E5D4E" w:rsidRDefault="003E5D4E" w:rsidP="003E5D4E">
            <w:pPr>
              <w:pStyle w:val="ListParagraph"/>
              <w:numPr>
                <w:ilvl w:val="0"/>
                <w:numId w:val="25"/>
              </w:numPr>
              <w:rPr>
                <w:bCs/>
                <w:noProof/>
              </w:rPr>
            </w:pPr>
            <w:r w:rsidRPr="003E5D4E">
              <w:rPr>
                <w:bCs/>
                <w:noProof/>
              </w:rPr>
              <w:t>Fees and Charges</w:t>
            </w:r>
          </w:p>
        </w:tc>
        <w:tc>
          <w:tcPr>
            <w:tcW w:w="850" w:type="dxa"/>
          </w:tcPr>
          <w:p w:rsidR="0093692F" w:rsidRPr="003E5D4E" w:rsidRDefault="003E5D4E" w:rsidP="003E5D4E">
            <w:pPr>
              <w:jc w:val="right"/>
              <w:rPr>
                <w:bCs/>
                <w:noProof/>
              </w:rPr>
            </w:pPr>
            <w:r>
              <w:rPr>
                <w:bCs/>
                <w:noProof/>
              </w:rPr>
              <w:t>7</w:t>
            </w:r>
          </w:p>
        </w:tc>
      </w:tr>
      <w:tr w:rsidR="0093692F" w:rsidTr="003E5D4E">
        <w:tc>
          <w:tcPr>
            <w:tcW w:w="5382" w:type="dxa"/>
          </w:tcPr>
          <w:p w:rsidR="0093692F" w:rsidRPr="003E5D4E" w:rsidRDefault="003E5D4E" w:rsidP="003E5D4E">
            <w:pPr>
              <w:ind w:left="720"/>
              <w:rPr>
                <w:bCs/>
                <w:noProof/>
              </w:rPr>
            </w:pPr>
            <w:r>
              <w:rPr>
                <w:bCs/>
                <w:noProof/>
              </w:rPr>
              <w:t>4.1 Principals</w:t>
            </w:r>
          </w:p>
        </w:tc>
        <w:tc>
          <w:tcPr>
            <w:tcW w:w="850" w:type="dxa"/>
          </w:tcPr>
          <w:p w:rsidR="0093692F" w:rsidRPr="003E5D4E" w:rsidRDefault="003E5D4E" w:rsidP="003E5D4E">
            <w:pPr>
              <w:jc w:val="right"/>
              <w:rPr>
                <w:bCs/>
                <w:noProof/>
              </w:rPr>
            </w:pPr>
            <w:r>
              <w:rPr>
                <w:bCs/>
                <w:noProof/>
              </w:rPr>
              <w:t>7</w:t>
            </w:r>
          </w:p>
        </w:tc>
      </w:tr>
      <w:tr w:rsidR="0093692F" w:rsidTr="003E5D4E">
        <w:tc>
          <w:tcPr>
            <w:tcW w:w="5382" w:type="dxa"/>
          </w:tcPr>
          <w:p w:rsidR="0093692F" w:rsidRPr="003E5D4E" w:rsidRDefault="003E5D4E" w:rsidP="003E5D4E">
            <w:pPr>
              <w:ind w:left="720"/>
              <w:rPr>
                <w:bCs/>
                <w:noProof/>
              </w:rPr>
            </w:pPr>
            <w:r>
              <w:rPr>
                <w:bCs/>
                <w:noProof/>
              </w:rPr>
              <w:t>4.2 Full Service Costing</w:t>
            </w:r>
          </w:p>
        </w:tc>
        <w:tc>
          <w:tcPr>
            <w:tcW w:w="850" w:type="dxa"/>
          </w:tcPr>
          <w:p w:rsidR="0093692F" w:rsidRPr="003E5D4E" w:rsidRDefault="003E5D4E" w:rsidP="003E5D4E">
            <w:pPr>
              <w:jc w:val="right"/>
              <w:rPr>
                <w:bCs/>
                <w:noProof/>
              </w:rPr>
            </w:pPr>
            <w:r>
              <w:rPr>
                <w:bCs/>
                <w:noProof/>
              </w:rPr>
              <w:t>7</w:t>
            </w:r>
          </w:p>
        </w:tc>
      </w:tr>
      <w:tr w:rsidR="0093692F" w:rsidTr="003E5D4E">
        <w:tc>
          <w:tcPr>
            <w:tcW w:w="5382" w:type="dxa"/>
          </w:tcPr>
          <w:p w:rsidR="0093692F" w:rsidRPr="003E5D4E" w:rsidRDefault="003E5D4E" w:rsidP="003E5D4E">
            <w:pPr>
              <w:ind w:left="720"/>
              <w:rPr>
                <w:bCs/>
                <w:noProof/>
              </w:rPr>
            </w:pPr>
            <w:r>
              <w:rPr>
                <w:bCs/>
                <w:noProof/>
              </w:rPr>
              <w:t>4.3 Pricing P</w:t>
            </w:r>
            <w:r w:rsidR="000265DB">
              <w:rPr>
                <w:bCs/>
                <w:noProof/>
              </w:rPr>
              <w:t>o</w:t>
            </w:r>
            <w:r>
              <w:rPr>
                <w:bCs/>
                <w:noProof/>
              </w:rPr>
              <w:t>licy</w:t>
            </w:r>
          </w:p>
        </w:tc>
        <w:tc>
          <w:tcPr>
            <w:tcW w:w="850" w:type="dxa"/>
          </w:tcPr>
          <w:p w:rsidR="0093692F" w:rsidRPr="003E5D4E" w:rsidRDefault="003E5D4E" w:rsidP="003E5D4E">
            <w:pPr>
              <w:jc w:val="right"/>
              <w:rPr>
                <w:bCs/>
                <w:noProof/>
              </w:rPr>
            </w:pPr>
            <w:r>
              <w:rPr>
                <w:bCs/>
                <w:noProof/>
              </w:rPr>
              <w:t>9</w:t>
            </w:r>
          </w:p>
        </w:tc>
      </w:tr>
      <w:tr w:rsidR="003E5D4E" w:rsidTr="003E5D4E">
        <w:tc>
          <w:tcPr>
            <w:tcW w:w="5382" w:type="dxa"/>
          </w:tcPr>
          <w:p w:rsidR="003E5D4E" w:rsidRPr="003E5D4E" w:rsidRDefault="003E5D4E" w:rsidP="003E5D4E">
            <w:pPr>
              <w:pStyle w:val="ListParagraph"/>
              <w:numPr>
                <w:ilvl w:val="0"/>
                <w:numId w:val="25"/>
              </w:numPr>
              <w:rPr>
                <w:bCs/>
                <w:noProof/>
              </w:rPr>
            </w:pPr>
            <w:r>
              <w:rPr>
                <w:bCs/>
                <w:noProof/>
              </w:rPr>
              <w:t>Grants</w:t>
            </w:r>
          </w:p>
        </w:tc>
        <w:tc>
          <w:tcPr>
            <w:tcW w:w="850" w:type="dxa"/>
          </w:tcPr>
          <w:p w:rsidR="003E5D4E" w:rsidRPr="003E5D4E" w:rsidRDefault="003E5D4E" w:rsidP="003E5D4E">
            <w:pPr>
              <w:jc w:val="right"/>
              <w:rPr>
                <w:bCs/>
                <w:noProof/>
              </w:rPr>
            </w:pPr>
            <w:r>
              <w:rPr>
                <w:bCs/>
                <w:noProof/>
              </w:rPr>
              <w:t>10</w:t>
            </w:r>
          </w:p>
        </w:tc>
      </w:tr>
      <w:tr w:rsidR="003E5D4E" w:rsidTr="003E5D4E">
        <w:tc>
          <w:tcPr>
            <w:tcW w:w="5382" w:type="dxa"/>
          </w:tcPr>
          <w:p w:rsidR="003E5D4E" w:rsidRPr="003E5D4E" w:rsidRDefault="003E5D4E" w:rsidP="003E5D4E">
            <w:pPr>
              <w:pStyle w:val="ListParagraph"/>
              <w:numPr>
                <w:ilvl w:val="0"/>
                <w:numId w:val="25"/>
              </w:numPr>
              <w:rPr>
                <w:bCs/>
                <w:noProof/>
              </w:rPr>
            </w:pPr>
            <w:r>
              <w:rPr>
                <w:bCs/>
                <w:noProof/>
              </w:rPr>
              <w:t>Other Income</w:t>
            </w:r>
          </w:p>
        </w:tc>
        <w:tc>
          <w:tcPr>
            <w:tcW w:w="850" w:type="dxa"/>
          </w:tcPr>
          <w:p w:rsidR="003E5D4E" w:rsidRPr="003E5D4E" w:rsidRDefault="003E5D4E" w:rsidP="003E5D4E">
            <w:pPr>
              <w:jc w:val="right"/>
              <w:rPr>
                <w:bCs/>
                <w:noProof/>
              </w:rPr>
            </w:pPr>
            <w:r>
              <w:rPr>
                <w:bCs/>
                <w:noProof/>
              </w:rPr>
              <w:t>10</w:t>
            </w:r>
          </w:p>
        </w:tc>
      </w:tr>
      <w:tr w:rsidR="003E5D4E" w:rsidTr="003E5D4E">
        <w:tc>
          <w:tcPr>
            <w:tcW w:w="5382" w:type="dxa"/>
          </w:tcPr>
          <w:p w:rsidR="003E5D4E" w:rsidRPr="003E5D4E" w:rsidRDefault="003E5D4E" w:rsidP="003E5D4E">
            <w:pPr>
              <w:pStyle w:val="ListParagraph"/>
              <w:numPr>
                <w:ilvl w:val="0"/>
                <w:numId w:val="25"/>
              </w:numPr>
              <w:rPr>
                <w:bCs/>
                <w:noProof/>
              </w:rPr>
            </w:pPr>
            <w:r>
              <w:rPr>
                <w:bCs/>
                <w:noProof/>
              </w:rPr>
              <w:t>Review</w:t>
            </w:r>
          </w:p>
        </w:tc>
        <w:tc>
          <w:tcPr>
            <w:tcW w:w="850" w:type="dxa"/>
          </w:tcPr>
          <w:p w:rsidR="003E5D4E" w:rsidRPr="003E5D4E" w:rsidRDefault="003E5D4E" w:rsidP="00D21471">
            <w:pPr>
              <w:jc w:val="right"/>
              <w:rPr>
                <w:bCs/>
                <w:noProof/>
              </w:rPr>
            </w:pPr>
            <w:r>
              <w:rPr>
                <w:bCs/>
                <w:noProof/>
              </w:rPr>
              <w:t>1</w:t>
            </w:r>
            <w:r w:rsidR="00D21471">
              <w:rPr>
                <w:bCs/>
                <w:noProof/>
              </w:rPr>
              <w:t>0</w:t>
            </w:r>
          </w:p>
        </w:tc>
      </w:tr>
    </w:tbl>
    <w:p w:rsidR="0093692F" w:rsidRDefault="0093692F">
      <w:pPr>
        <w:rPr>
          <w:b/>
          <w:bCs/>
          <w:noProof/>
        </w:rPr>
      </w:pPr>
      <w:r>
        <w:rPr>
          <w:b/>
          <w:bCs/>
          <w:noProof/>
        </w:rPr>
        <w:br w:type="page"/>
      </w:r>
    </w:p>
    <w:p w:rsidR="000A4EF0" w:rsidRDefault="000A4EF0">
      <w:pPr>
        <w:rPr>
          <w:b/>
          <w:bCs/>
          <w:noProof/>
        </w:rPr>
      </w:pPr>
    </w:p>
    <w:p w:rsidR="000A4EF0" w:rsidRDefault="000A4EF0">
      <w:pPr>
        <w:rPr>
          <w:b/>
          <w:bCs/>
          <w:noProof/>
        </w:rPr>
      </w:pPr>
    </w:p>
    <w:p w:rsidR="00813303" w:rsidRDefault="00813303" w:rsidP="007345A8">
      <w:pPr>
        <w:pStyle w:val="Heading2"/>
        <w:spacing w:before="0" w:after="120" w:line="240" w:lineRule="auto"/>
        <w:rPr>
          <w:rFonts w:ascii="Arial" w:hAnsi="Arial" w:cs="Arial"/>
          <w:b/>
          <w:color w:val="4F6228" w:themeColor="accent3" w:themeShade="80"/>
          <w:spacing w:val="-3"/>
          <w:sz w:val="22"/>
          <w:szCs w:val="22"/>
        </w:rPr>
      </w:pPr>
    </w:p>
    <w:p w:rsidR="00C2725F" w:rsidRDefault="00C2725F" w:rsidP="007345A8">
      <w:pPr>
        <w:pStyle w:val="Heading2"/>
        <w:spacing w:before="0" w:after="120" w:line="240" w:lineRule="auto"/>
        <w:rPr>
          <w:rFonts w:ascii="Arial" w:hAnsi="Arial" w:cs="Arial"/>
          <w:b/>
          <w:color w:val="4F6228" w:themeColor="accent3" w:themeShade="80"/>
          <w:spacing w:val="-3"/>
          <w:sz w:val="22"/>
          <w:szCs w:val="22"/>
        </w:rPr>
      </w:pPr>
      <w:r>
        <w:rPr>
          <w:rFonts w:ascii="Arial" w:hAnsi="Arial" w:cs="Arial"/>
          <w:b/>
          <w:color w:val="4F6228" w:themeColor="accent3" w:themeShade="80"/>
          <w:spacing w:val="-3"/>
          <w:sz w:val="22"/>
          <w:szCs w:val="22"/>
        </w:rPr>
        <w:t>Acknowledgement of Country</w:t>
      </w:r>
    </w:p>
    <w:p w:rsidR="00C2725F" w:rsidRDefault="00C2725F" w:rsidP="007345A8">
      <w:pPr>
        <w:pStyle w:val="Body"/>
        <w:spacing w:after="120" w:line="240" w:lineRule="auto"/>
        <w:rPr>
          <w:rFonts w:ascii="Arial" w:hAnsi="Arial" w:cs="Arial"/>
          <w:sz w:val="22"/>
          <w:szCs w:val="22"/>
        </w:rPr>
      </w:pPr>
      <w:r w:rsidRPr="00C2725F">
        <w:rPr>
          <w:rFonts w:ascii="Arial" w:hAnsi="Arial" w:cs="Arial"/>
          <w:sz w:val="22"/>
          <w:szCs w:val="22"/>
        </w:rPr>
        <w:t xml:space="preserve">Nillumbik Shire Council acknowledges the Wurundjeri people who are the Traditional Custodians of this Land. We would also like to pay respect to the elders both past and present and extend that respect to other Indigenous Australians. </w:t>
      </w:r>
    </w:p>
    <w:p w:rsidR="00C2725F" w:rsidRPr="00C2725F" w:rsidRDefault="00C2725F" w:rsidP="007345A8">
      <w:pPr>
        <w:pStyle w:val="Body"/>
        <w:spacing w:after="120" w:line="240" w:lineRule="auto"/>
        <w:rPr>
          <w:rFonts w:ascii="Arial" w:hAnsi="Arial" w:cs="Arial"/>
          <w:sz w:val="22"/>
          <w:szCs w:val="22"/>
        </w:rPr>
      </w:pPr>
    </w:p>
    <w:p w:rsidR="000E0A51" w:rsidRPr="002B56B4" w:rsidRDefault="000E0A51"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sidRPr="002B56B4">
        <w:rPr>
          <w:rFonts w:ascii="Arial" w:hAnsi="Arial" w:cs="Arial"/>
          <w:b/>
          <w:color w:val="4F6228" w:themeColor="accent3" w:themeShade="80"/>
          <w:spacing w:val="-3"/>
          <w:sz w:val="22"/>
          <w:szCs w:val="22"/>
        </w:rPr>
        <w:t xml:space="preserve">Purpose </w:t>
      </w:r>
    </w:p>
    <w:p w:rsidR="000E0A51" w:rsidRDefault="00C2725F" w:rsidP="007345A8">
      <w:pPr>
        <w:pStyle w:val="Body"/>
        <w:spacing w:after="120" w:line="240" w:lineRule="auto"/>
        <w:rPr>
          <w:rFonts w:ascii="Arial" w:hAnsi="Arial" w:cs="Arial"/>
          <w:sz w:val="22"/>
          <w:szCs w:val="22"/>
        </w:rPr>
      </w:pPr>
      <w:r>
        <w:rPr>
          <w:rFonts w:ascii="Arial" w:hAnsi="Arial" w:cs="Arial"/>
          <w:sz w:val="22"/>
          <w:szCs w:val="22"/>
        </w:rPr>
        <w:t>The purpose of the Revenue and Rating Plan is to</w:t>
      </w:r>
      <w:r w:rsidR="000E0A51" w:rsidRPr="002B56B4">
        <w:rPr>
          <w:rFonts w:ascii="Arial" w:hAnsi="Arial" w:cs="Arial"/>
          <w:sz w:val="22"/>
          <w:szCs w:val="22"/>
        </w:rPr>
        <w:t xml:space="preserve"> determine the </w:t>
      </w:r>
      <w:r w:rsidR="000A72C2">
        <w:rPr>
          <w:rFonts w:ascii="Arial" w:hAnsi="Arial" w:cs="Arial"/>
          <w:sz w:val="22"/>
          <w:szCs w:val="22"/>
        </w:rPr>
        <w:t>rating and</w:t>
      </w:r>
      <w:r w:rsidR="000E0A51" w:rsidRPr="002B56B4">
        <w:rPr>
          <w:rFonts w:ascii="Arial" w:hAnsi="Arial" w:cs="Arial"/>
          <w:sz w:val="22"/>
          <w:szCs w:val="22"/>
        </w:rPr>
        <w:t xml:space="preserve"> revenue strategy which, in conjunction with other income sources, will adequately finance </w:t>
      </w:r>
      <w:r>
        <w:rPr>
          <w:rFonts w:ascii="Arial" w:hAnsi="Arial" w:cs="Arial"/>
          <w:sz w:val="22"/>
          <w:szCs w:val="22"/>
        </w:rPr>
        <w:t>the objectives proposed in the C</w:t>
      </w:r>
      <w:r w:rsidR="000E0A51" w:rsidRPr="002B56B4">
        <w:rPr>
          <w:rFonts w:ascii="Arial" w:hAnsi="Arial" w:cs="Arial"/>
          <w:sz w:val="22"/>
          <w:szCs w:val="22"/>
        </w:rPr>
        <w:t xml:space="preserve">ouncil </w:t>
      </w:r>
      <w:r>
        <w:rPr>
          <w:rFonts w:ascii="Arial" w:hAnsi="Arial" w:cs="Arial"/>
          <w:sz w:val="22"/>
          <w:szCs w:val="22"/>
        </w:rPr>
        <w:t>P</w:t>
      </w:r>
      <w:r w:rsidR="000E0A51" w:rsidRPr="002B56B4">
        <w:rPr>
          <w:rFonts w:ascii="Arial" w:hAnsi="Arial" w:cs="Arial"/>
          <w:sz w:val="22"/>
          <w:szCs w:val="22"/>
        </w:rPr>
        <w:t xml:space="preserve">lan. </w:t>
      </w:r>
    </w:p>
    <w:p w:rsidR="00C2725F" w:rsidRPr="00C2725F" w:rsidRDefault="00C2725F" w:rsidP="007345A8">
      <w:pPr>
        <w:pStyle w:val="Body"/>
        <w:spacing w:after="120" w:line="240" w:lineRule="auto"/>
        <w:rPr>
          <w:rFonts w:ascii="Arial" w:hAnsi="Arial" w:cs="Arial"/>
          <w:szCs w:val="22"/>
        </w:rPr>
      </w:pPr>
    </w:p>
    <w:p w:rsidR="000E0A51" w:rsidRPr="002B56B4" w:rsidRDefault="003E5D4E"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Pr>
          <w:rFonts w:ascii="Arial" w:hAnsi="Arial" w:cs="Arial"/>
          <w:b/>
          <w:color w:val="4F6228" w:themeColor="accent3" w:themeShade="80"/>
          <w:spacing w:val="-3"/>
          <w:sz w:val="22"/>
          <w:szCs w:val="22"/>
        </w:rPr>
        <w:t>Summary</w:t>
      </w:r>
    </w:p>
    <w:p w:rsidR="000E0A51" w:rsidRPr="002B56B4" w:rsidRDefault="000E0A51" w:rsidP="007345A8">
      <w:pPr>
        <w:pStyle w:val="Body"/>
        <w:spacing w:after="120" w:line="240" w:lineRule="auto"/>
        <w:rPr>
          <w:rFonts w:ascii="Arial" w:hAnsi="Arial" w:cs="Arial"/>
          <w:sz w:val="22"/>
          <w:szCs w:val="22"/>
        </w:rPr>
      </w:pPr>
      <w:r w:rsidRPr="002B56B4">
        <w:rPr>
          <w:rFonts w:ascii="Arial" w:hAnsi="Arial" w:cs="Arial"/>
          <w:sz w:val="22"/>
          <w:szCs w:val="22"/>
        </w:rPr>
        <w:t xml:space="preserve">Nillumbik Shire Council requires sufficient revenue to </w:t>
      </w:r>
      <w:r w:rsidR="00C2725F">
        <w:rPr>
          <w:rFonts w:ascii="Arial" w:hAnsi="Arial" w:cs="Arial"/>
          <w:sz w:val="22"/>
          <w:szCs w:val="22"/>
        </w:rPr>
        <w:t xml:space="preserve">maintain </w:t>
      </w:r>
      <w:r w:rsidRPr="002B56B4">
        <w:rPr>
          <w:rFonts w:ascii="Arial" w:hAnsi="Arial" w:cs="Arial"/>
          <w:sz w:val="22"/>
          <w:szCs w:val="22"/>
        </w:rPr>
        <w:t xml:space="preserve">its service delivery needs and fund its infrastructure needs.  The most important sources of these funds are: </w:t>
      </w:r>
    </w:p>
    <w:p w:rsidR="000E0A51" w:rsidRPr="002B56B4" w:rsidRDefault="000E0A51" w:rsidP="007345A8">
      <w:pPr>
        <w:pStyle w:val="BulletL1"/>
        <w:numPr>
          <w:ilvl w:val="0"/>
          <w:numId w:val="1"/>
        </w:numPr>
        <w:spacing w:after="120" w:line="240" w:lineRule="auto"/>
        <w:rPr>
          <w:rFonts w:ascii="Arial" w:hAnsi="Arial" w:cs="Arial"/>
          <w:sz w:val="22"/>
          <w:szCs w:val="22"/>
        </w:rPr>
      </w:pPr>
      <w:r w:rsidRPr="002B56B4">
        <w:rPr>
          <w:rFonts w:ascii="Arial" w:hAnsi="Arial" w:cs="Arial"/>
          <w:sz w:val="22"/>
          <w:szCs w:val="22"/>
        </w:rPr>
        <w:t>general rates</w:t>
      </w:r>
    </w:p>
    <w:p w:rsidR="000E0A51" w:rsidRPr="002B56B4" w:rsidRDefault="000E0A51" w:rsidP="007345A8">
      <w:pPr>
        <w:pStyle w:val="BulletL1"/>
        <w:numPr>
          <w:ilvl w:val="0"/>
          <w:numId w:val="1"/>
        </w:numPr>
        <w:spacing w:after="120" w:line="240" w:lineRule="auto"/>
        <w:rPr>
          <w:rFonts w:ascii="Arial" w:hAnsi="Arial" w:cs="Arial"/>
          <w:sz w:val="22"/>
          <w:szCs w:val="22"/>
        </w:rPr>
      </w:pPr>
      <w:r w:rsidRPr="002B56B4">
        <w:rPr>
          <w:rFonts w:ascii="Arial" w:hAnsi="Arial" w:cs="Arial"/>
          <w:sz w:val="22"/>
          <w:szCs w:val="22"/>
        </w:rPr>
        <w:t>government grants</w:t>
      </w:r>
    </w:p>
    <w:p w:rsidR="000E0A51" w:rsidRDefault="000E0A51" w:rsidP="007345A8">
      <w:pPr>
        <w:pStyle w:val="BulletL1Last"/>
        <w:numPr>
          <w:ilvl w:val="0"/>
          <w:numId w:val="1"/>
        </w:numPr>
        <w:spacing w:after="120" w:line="240" w:lineRule="auto"/>
        <w:rPr>
          <w:rFonts w:ascii="Arial" w:hAnsi="Arial" w:cs="Arial"/>
          <w:sz w:val="22"/>
          <w:szCs w:val="22"/>
        </w:rPr>
      </w:pPr>
      <w:proofErr w:type="gramStart"/>
      <w:r w:rsidRPr="002B56B4">
        <w:rPr>
          <w:rFonts w:ascii="Arial" w:hAnsi="Arial" w:cs="Arial"/>
          <w:sz w:val="22"/>
          <w:szCs w:val="22"/>
        </w:rPr>
        <w:t>fees</w:t>
      </w:r>
      <w:proofErr w:type="gramEnd"/>
      <w:r w:rsidRPr="002B56B4">
        <w:rPr>
          <w:rFonts w:ascii="Arial" w:hAnsi="Arial" w:cs="Arial"/>
          <w:sz w:val="22"/>
          <w:szCs w:val="22"/>
        </w:rPr>
        <w:t xml:space="preserve"> and charges.</w:t>
      </w:r>
    </w:p>
    <w:p w:rsidR="001C1ED6" w:rsidRPr="002B56B4" w:rsidRDefault="001C1ED6" w:rsidP="007345A8">
      <w:pPr>
        <w:pStyle w:val="BulletL1Last"/>
        <w:spacing w:after="120" w:line="240" w:lineRule="auto"/>
        <w:ind w:left="0" w:firstLine="0"/>
        <w:rPr>
          <w:rFonts w:ascii="Arial" w:hAnsi="Arial" w:cs="Arial"/>
          <w:sz w:val="22"/>
          <w:szCs w:val="22"/>
        </w:rPr>
      </w:pPr>
      <w:r w:rsidRPr="001C1ED6">
        <w:rPr>
          <w:rFonts w:ascii="Arial" w:hAnsi="Arial" w:cs="Arial"/>
          <w:sz w:val="22"/>
          <w:szCs w:val="22"/>
        </w:rPr>
        <w:t>General Rates are levied annually, in compliance with the Fair Go Rating System.</w:t>
      </w:r>
    </w:p>
    <w:p w:rsidR="0082268B" w:rsidRDefault="0082268B" w:rsidP="007345A8">
      <w:pPr>
        <w:pStyle w:val="Body"/>
        <w:spacing w:after="120" w:line="240" w:lineRule="auto"/>
        <w:rPr>
          <w:rFonts w:ascii="Arial" w:hAnsi="Arial" w:cs="Arial"/>
          <w:sz w:val="22"/>
          <w:szCs w:val="22"/>
        </w:rPr>
      </w:pPr>
      <w:r>
        <w:rPr>
          <w:rFonts w:ascii="Arial" w:hAnsi="Arial" w:cs="Arial"/>
          <w:sz w:val="22"/>
          <w:szCs w:val="22"/>
        </w:rPr>
        <w:t>Council advocacy is an ongoing priority to obtain external grant funds, particularly for community infrastructure capital works programs</w:t>
      </w:r>
      <w:r w:rsidR="000E0A51" w:rsidRPr="002B56B4">
        <w:rPr>
          <w:rFonts w:ascii="Arial" w:hAnsi="Arial" w:cs="Arial"/>
          <w:sz w:val="22"/>
          <w:szCs w:val="22"/>
        </w:rPr>
        <w:t xml:space="preserve">. </w:t>
      </w:r>
    </w:p>
    <w:p w:rsidR="0062708D" w:rsidRPr="002B56B4" w:rsidRDefault="0082268B" w:rsidP="007345A8">
      <w:pPr>
        <w:pStyle w:val="Body"/>
        <w:spacing w:after="120" w:line="240" w:lineRule="auto"/>
        <w:rPr>
          <w:rFonts w:ascii="Arial" w:hAnsi="Arial" w:cs="Arial"/>
          <w:sz w:val="22"/>
          <w:szCs w:val="22"/>
        </w:rPr>
      </w:pPr>
      <w:r>
        <w:rPr>
          <w:rFonts w:ascii="Arial" w:hAnsi="Arial" w:cs="Arial"/>
          <w:sz w:val="22"/>
          <w:szCs w:val="22"/>
        </w:rPr>
        <w:t>C</w:t>
      </w:r>
      <w:r w:rsidR="000E0A51" w:rsidRPr="002B56B4">
        <w:rPr>
          <w:rFonts w:ascii="Arial" w:hAnsi="Arial" w:cs="Arial"/>
          <w:sz w:val="22"/>
          <w:szCs w:val="22"/>
        </w:rPr>
        <w:t>ouncil has reviewed all</w:t>
      </w:r>
      <w:r w:rsidR="0062708D" w:rsidRPr="002B56B4">
        <w:rPr>
          <w:rFonts w:ascii="Arial" w:hAnsi="Arial" w:cs="Arial"/>
          <w:sz w:val="22"/>
          <w:szCs w:val="22"/>
        </w:rPr>
        <w:t xml:space="preserve"> fees and charges </w:t>
      </w:r>
      <w:r w:rsidR="000E0A51" w:rsidRPr="002B56B4">
        <w:rPr>
          <w:rFonts w:ascii="Arial" w:hAnsi="Arial" w:cs="Arial"/>
          <w:sz w:val="22"/>
          <w:szCs w:val="22"/>
        </w:rPr>
        <w:t xml:space="preserve">and increased/decreased the levels consistent with application of the user pays principle – that is, so far as is possible, the cost of providing a direct service will be met by the fees charged. </w:t>
      </w:r>
    </w:p>
    <w:p w:rsidR="0062708D" w:rsidRPr="002B56B4" w:rsidRDefault="000E0A51" w:rsidP="007345A8">
      <w:pPr>
        <w:pStyle w:val="Body"/>
        <w:spacing w:after="120" w:line="240" w:lineRule="auto"/>
        <w:rPr>
          <w:rFonts w:ascii="Arial" w:hAnsi="Arial" w:cs="Arial"/>
          <w:sz w:val="22"/>
          <w:szCs w:val="22"/>
        </w:rPr>
      </w:pPr>
      <w:r w:rsidRPr="002B56B4">
        <w:rPr>
          <w:rFonts w:ascii="Arial" w:hAnsi="Arial" w:cs="Arial"/>
          <w:sz w:val="22"/>
          <w:szCs w:val="22"/>
        </w:rPr>
        <w:t xml:space="preserve">A schedule of the current user fees and charges is presented in the annual budget.  Also included is a selection of council services and their costs compared to the </w:t>
      </w:r>
      <w:r w:rsidR="006F33C5" w:rsidRPr="002B56B4">
        <w:rPr>
          <w:rFonts w:ascii="Arial" w:hAnsi="Arial" w:cs="Arial"/>
          <w:sz w:val="22"/>
          <w:szCs w:val="22"/>
        </w:rPr>
        <w:t>income received</w:t>
      </w:r>
      <w:r w:rsidRPr="002B56B4">
        <w:rPr>
          <w:rFonts w:ascii="Arial" w:hAnsi="Arial" w:cs="Arial"/>
          <w:sz w:val="22"/>
          <w:szCs w:val="22"/>
        </w:rPr>
        <w:t xml:space="preserve"> for their provision.</w:t>
      </w:r>
    </w:p>
    <w:p w:rsidR="00373512" w:rsidRDefault="00373512" w:rsidP="007345A8">
      <w:pPr>
        <w:pStyle w:val="Body"/>
        <w:spacing w:after="120" w:line="240" w:lineRule="auto"/>
        <w:rPr>
          <w:rFonts w:ascii="Arial" w:hAnsi="Arial" w:cs="Arial"/>
          <w:sz w:val="22"/>
          <w:szCs w:val="22"/>
        </w:rPr>
      </w:pPr>
      <w:r>
        <w:rPr>
          <w:rFonts w:ascii="Arial" w:hAnsi="Arial" w:cs="Arial"/>
          <w:noProof/>
          <w:sz w:val="22"/>
          <w:szCs w:val="22"/>
          <w:lang w:val="en-AU" w:eastAsia="en-AU"/>
        </w:rPr>
        <w:drawing>
          <wp:inline distT="0" distB="0" distL="0" distR="0" wp14:anchorId="599785E3">
            <wp:extent cx="6381750" cy="4004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893" cy="4032462"/>
                    </a:xfrm>
                    <a:prstGeom prst="rect">
                      <a:avLst/>
                    </a:prstGeom>
                    <a:noFill/>
                  </pic:spPr>
                </pic:pic>
              </a:graphicData>
            </a:graphic>
          </wp:inline>
        </w:drawing>
      </w:r>
    </w:p>
    <w:p w:rsidR="00813303" w:rsidRDefault="00813303" w:rsidP="007345A8">
      <w:pPr>
        <w:pStyle w:val="Body"/>
        <w:spacing w:after="120" w:line="240" w:lineRule="auto"/>
        <w:rPr>
          <w:rFonts w:ascii="Arial" w:hAnsi="Arial" w:cs="Arial"/>
          <w:sz w:val="22"/>
          <w:szCs w:val="22"/>
        </w:rPr>
      </w:pPr>
    </w:p>
    <w:p w:rsidR="00813303" w:rsidRDefault="00813303" w:rsidP="007345A8">
      <w:pPr>
        <w:pStyle w:val="Body"/>
        <w:spacing w:after="120" w:line="240" w:lineRule="auto"/>
        <w:rPr>
          <w:rFonts w:ascii="Arial" w:hAnsi="Arial" w:cs="Arial"/>
          <w:sz w:val="22"/>
          <w:szCs w:val="22"/>
        </w:rPr>
      </w:pPr>
    </w:p>
    <w:p w:rsidR="00813303" w:rsidRPr="00C2725F" w:rsidRDefault="00813303" w:rsidP="007345A8">
      <w:pPr>
        <w:pStyle w:val="Body"/>
        <w:spacing w:after="120" w:line="240" w:lineRule="auto"/>
        <w:rPr>
          <w:rFonts w:ascii="Arial" w:hAnsi="Arial" w:cs="Arial"/>
          <w:sz w:val="22"/>
          <w:szCs w:val="22"/>
        </w:rPr>
      </w:pPr>
    </w:p>
    <w:p w:rsidR="0062708D" w:rsidRPr="002B56B4" w:rsidRDefault="0062708D"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sidRPr="002B56B4">
        <w:rPr>
          <w:rFonts w:ascii="Arial" w:hAnsi="Arial" w:cs="Arial"/>
          <w:b/>
          <w:color w:val="4F6228" w:themeColor="accent3" w:themeShade="80"/>
          <w:spacing w:val="-3"/>
          <w:sz w:val="22"/>
          <w:szCs w:val="22"/>
        </w:rPr>
        <w:t>General Rates Income</w:t>
      </w:r>
    </w:p>
    <w:p w:rsidR="0082268B" w:rsidRDefault="0082268B" w:rsidP="007345A8">
      <w:pPr>
        <w:pStyle w:val="Body"/>
        <w:spacing w:after="120" w:line="240" w:lineRule="auto"/>
        <w:rPr>
          <w:rFonts w:ascii="Arial" w:hAnsi="Arial" w:cs="Arial"/>
          <w:sz w:val="22"/>
          <w:szCs w:val="22"/>
        </w:rPr>
      </w:pPr>
      <w:r>
        <w:rPr>
          <w:rFonts w:ascii="Arial" w:hAnsi="Arial" w:cs="Arial"/>
          <w:sz w:val="22"/>
          <w:szCs w:val="22"/>
        </w:rPr>
        <w:t>General Rates are levied annually, in compliance with the Fair Go Rating System</w:t>
      </w:r>
      <w:r w:rsidR="000265DB">
        <w:rPr>
          <w:rFonts w:ascii="Arial" w:hAnsi="Arial" w:cs="Arial"/>
          <w:sz w:val="22"/>
          <w:szCs w:val="22"/>
        </w:rPr>
        <w:t xml:space="preserve"> and section 158 of the Local Government Act 1989</w:t>
      </w:r>
      <w:r>
        <w:rPr>
          <w:rFonts w:ascii="Arial" w:hAnsi="Arial" w:cs="Arial"/>
          <w:sz w:val="22"/>
          <w:szCs w:val="22"/>
        </w:rPr>
        <w:t xml:space="preserve">. </w:t>
      </w:r>
    </w:p>
    <w:p w:rsidR="000265DB" w:rsidRDefault="000265DB" w:rsidP="007345A8">
      <w:pPr>
        <w:pStyle w:val="Body"/>
        <w:spacing w:after="120" w:line="240" w:lineRule="auto"/>
        <w:rPr>
          <w:rFonts w:ascii="Arial" w:hAnsi="Arial" w:cs="Arial"/>
          <w:sz w:val="22"/>
          <w:szCs w:val="22"/>
        </w:rPr>
      </w:pPr>
      <w:r>
        <w:rPr>
          <w:rFonts w:ascii="Arial" w:hAnsi="Arial" w:cs="Arial"/>
          <w:sz w:val="22"/>
          <w:szCs w:val="22"/>
        </w:rPr>
        <w:t xml:space="preserve">The Fair Go Rates System (FGRS) </w:t>
      </w:r>
      <w:r w:rsidRPr="000265DB">
        <w:rPr>
          <w:rFonts w:ascii="Arial" w:hAnsi="Arial" w:cs="Arial"/>
          <w:sz w:val="22"/>
          <w:szCs w:val="22"/>
        </w:rPr>
        <w:t>sets out the maximum amount councils may increase rates in a year.</w:t>
      </w:r>
      <w:r>
        <w:rPr>
          <w:rFonts w:ascii="Arial" w:hAnsi="Arial" w:cs="Arial"/>
          <w:sz w:val="22"/>
          <w:szCs w:val="22"/>
        </w:rPr>
        <w:t xml:space="preserve"> </w:t>
      </w:r>
      <w:r w:rsidRPr="000265DB">
        <w:rPr>
          <w:rFonts w:ascii="Arial" w:hAnsi="Arial" w:cs="Arial"/>
          <w:sz w:val="22"/>
          <w:szCs w:val="22"/>
        </w:rPr>
        <w:t>The cap applies to general rates and is calculated on the basis of council’s average rates and charges.</w:t>
      </w:r>
    </w:p>
    <w:p w:rsidR="006F33C5" w:rsidRPr="002B56B4" w:rsidRDefault="000E0A51" w:rsidP="007345A8">
      <w:pPr>
        <w:pStyle w:val="Body"/>
        <w:spacing w:after="120" w:line="240" w:lineRule="auto"/>
        <w:rPr>
          <w:rFonts w:ascii="Arial" w:hAnsi="Arial" w:cs="Arial"/>
          <w:sz w:val="22"/>
          <w:szCs w:val="22"/>
        </w:rPr>
      </w:pPr>
      <w:r w:rsidRPr="002B56B4">
        <w:rPr>
          <w:rFonts w:ascii="Arial" w:hAnsi="Arial" w:cs="Arial"/>
          <w:sz w:val="22"/>
          <w:szCs w:val="22"/>
        </w:rPr>
        <w:t xml:space="preserve">The rating system is based on property valuations, </w:t>
      </w:r>
      <w:r w:rsidR="00C2725F">
        <w:rPr>
          <w:rFonts w:ascii="Arial" w:hAnsi="Arial" w:cs="Arial"/>
          <w:sz w:val="22"/>
          <w:szCs w:val="22"/>
        </w:rPr>
        <w:t>which are</w:t>
      </w:r>
      <w:r w:rsidRPr="002B56B4">
        <w:rPr>
          <w:rFonts w:ascii="Arial" w:hAnsi="Arial" w:cs="Arial"/>
          <w:sz w:val="22"/>
          <w:szCs w:val="22"/>
        </w:rPr>
        <w:t xml:space="preserve"> carried out </w:t>
      </w:r>
      <w:r w:rsidR="0062708D" w:rsidRPr="002B56B4">
        <w:rPr>
          <w:rFonts w:ascii="Arial" w:hAnsi="Arial" w:cs="Arial"/>
          <w:sz w:val="22"/>
          <w:szCs w:val="22"/>
        </w:rPr>
        <w:t xml:space="preserve">annually by the </w:t>
      </w:r>
      <w:proofErr w:type="spellStart"/>
      <w:r w:rsidR="0062708D" w:rsidRPr="002B56B4">
        <w:rPr>
          <w:rFonts w:ascii="Arial" w:hAnsi="Arial" w:cs="Arial"/>
          <w:sz w:val="22"/>
          <w:szCs w:val="22"/>
        </w:rPr>
        <w:t>Valuer</w:t>
      </w:r>
      <w:proofErr w:type="spellEnd"/>
      <w:r w:rsidR="0062708D" w:rsidRPr="002B56B4">
        <w:rPr>
          <w:rFonts w:ascii="Arial" w:hAnsi="Arial" w:cs="Arial"/>
          <w:sz w:val="22"/>
          <w:szCs w:val="22"/>
        </w:rPr>
        <w:t>-General Victoria or their nominated representatives</w:t>
      </w:r>
      <w:r w:rsidRPr="002B56B4">
        <w:rPr>
          <w:rFonts w:ascii="Arial" w:hAnsi="Arial" w:cs="Arial"/>
          <w:sz w:val="22"/>
          <w:szCs w:val="22"/>
        </w:rPr>
        <w:t>. Rates are</w:t>
      </w:r>
      <w:r w:rsidR="00C2725F">
        <w:rPr>
          <w:rFonts w:ascii="Arial" w:hAnsi="Arial" w:cs="Arial"/>
          <w:sz w:val="22"/>
          <w:szCs w:val="22"/>
        </w:rPr>
        <w:t xml:space="preserve"> levied</w:t>
      </w:r>
      <w:r w:rsidRPr="002B56B4">
        <w:rPr>
          <w:rFonts w:ascii="Arial" w:hAnsi="Arial" w:cs="Arial"/>
          <w:sz w:val="22"/>
          <w:szCs w:val="22"/>
        </w:rPr>
        <w:t xml:space="preserve"> b</w:t>
      </w:r>
      <w:r w:rsidR="00DA5460" w:rsidRPr="002B56B4">
        <w:rPr>
          <w:rFonts w:ascii="Arial" w:hAnsi="Arial" w:cs="Arial"/>
          <w:sz w:val="22"/>
          <w:szCs w:val="22"/>
        </w:rPr>
        <w:t xml:space="preserve">ased on these valuations. </w:t>
      </w:r>
    </w:p>
    <w:p w:rsidR="006F33C5" w:rsidRPr="002B56B4" w:rsidRDefault="00DA5460" w:rsidP="007345A8">
      <w:pPr>
        <w:pStyle w:val="Body"/>
        <w:spacing w:after="120" w:line="240" w:lineRule="auto"/>
        <w:rPr>
          <w:rFonts w:ascii="Arial" w:hAnsi="Arial" w:cs="Arial"/>
          <w:sz w:val="22"/>
          <w:szCs w:val="22"/>
        </w:rPr>
      </w:pPr>
      <w:r w:rsidRPr="002B56B4">
        <w:rPr>
          <w:rFonts w:ascii="Arial" w:hAnsi="Arial" w:cs="Arial"/>
          <w:sz w:val="22"/>
          <w:szCs w:val="22"/>
        </w:rPr>
        <w:t>C</w:t>
      </w:r>
      <w:r w:rsidR="000E0A51" w:rsidRPr="002B56B4">
        <w:rPr>
          <w:rFonts w:ascii="Arial" w:hAnsi="Arial" w:cs="Arial"/>
          <w:sz w:val="22"/>
          <w:szCs w:val="22"/>
        </w:rPr>
        <w:t xml:space="preserve">ouncil has several means by which it can vary the amounts which are levied, including: </w:t>
      </w:r>
    </w:p>
    <w:p w:rsidR="000E0A51" w:rsidRPr="002B56B4" w:rsidRDefault="000E0A51" w:rsidP="007345A8">
      <w:pPr>
        <w:pStyle w:val="BulletL1"/>
        <w:numPr>
          <w:ilvl w:val="0"/>
          <w:numId w:val="2"/>
        </w:numPr>
        <w:spacing w:after="120" w:line="240" w:lineRule="auto"/>
        <w:rPr>
          <w:rFonts w:ascii="Arial" w:hAnsi="Arial" w:cs="Arial"/>
          <w:sz w:val="22"/>
          <w:szCs w:val="22"/>
        </w:rPr>
      </w:pPr>
      <w:r w:rsidRPr="002B56B4">
        <w:rPr>
          <w:rFonts w:ascii="Arial" w:hAnsi="Arial" w:cs="Arial"/>
          <w:sz w:val="22"/>
          <w:szCs w:val="22"/>
        </w:rPr>
        <w:t>a general rate</w:t>
      </w:r>
    </w:p>
    <w:p w:rsidR="000E0A51" w:rsidRPr="002B56B4" w:rsidRDefault="000E0A51" w:rsidP="007345A8">
      <w:pPr>
        <w:pStyle w:val="BulletL1"/>
        <w:numPr>
          <w:ilvl w:val="0"/>
          <w:numId w:val="2"/>
        </w:numPr>
        <w:spacing w:after="120" w:line="240" w:lineRule="auto"/>
        <w:rPr>
          <w:rFonts w:ascii="Arial" w:hAnsi="Arial" w:cs="Arial"/>
          <w:sz w:val="22"/>
          <w:szCs w:val="22"/>
        </w:rPr>
      </w:pPr>
      <w:r w:rsidRPr="002B56B4">
        <w:rPr>
          <w:rFonts w:ascii="Arial" w:hAnsi="Arial" w:cs="Arial"/>
          <w:sz w:val="22"/>
          <w:szCs w:val="22"/>
        </w:rPr>
        <w:t>a municipal charge</w:t>
      </w:r>
    </w:p>
    <w:p w:rsidR="000E0A51" w:rsidRPr="002B56B4" w:rsidRDefault="000E0A51" w:rsidP="007345A8">
      <w:pPr>
        <w:pStyle w:val="BulletL1"/>
        <w:numPr>
          <w:ilvl w:val="0"/>
          <w:numId w:val="2"/>
        </w:numPr>
        <w:spacing w:after="120" w:line="240" w:lineRule="auto"/>
        <w:rPr>
          <w:rFonts w:ascii="Arial" w:hAnsi="Arial" w:cs="Arial"/>
          <w:sz w:val="22"/>
          <w:szCs w:val="22"/>
        </w:rPr>
      </w:pPr>
      <w:r w:rsidRPr="002B56B4">
        <w:rPr>
          <w:rFonts w:ascii="Arial" w:hAnsi="Arial" w:cs="Arial"/>
          <w:sz w:val="22"/>
          <w:szCs w:val="22"/>
        </w:rPr>
        <w:t>differential rates</w:t>
      </w:r>
    </w:p>
    <w:p w:rsidR="000E0A51" w:rsidRPr="002B56B4" w:rsidRDefault="000E0A51" w:rsidP="007345A8">
      <w:pPr>
        <w:pStyle w:val="BulletL1"/>
        <w:numPr>
          <w:ilvl w:val="0"/>
          <w:numId w:val="2"/>
        </w:numPr>
        <w:spacing w:after="120" w:line="240" w:lineRule="auto"/>
        <w:rPr>
          <w:rFonts w:ascii="Arial" w:hAnsi="Arial" w:cs="Arial"/>
          <w:sz w:val="22"/>
          <w:szCs w:val="22"/>
        </w:rPr>
      </w:pPr>
      <w:r w:rsidRPr="002B56B4">
        <w:rPr>
          <w:rFonts w:ascii="Arial" w:hAnsi="Arial" w:cs="Arial"/>
          <w:sz w:val="22"/>
          <w:szCs w:val="22"/>
        </w:rPr>
        <w:t>service rates and charges</w:t>
      </w:r>
    </w:p>
    <w:p w:rsidR="000E0A51" w:rsidRPr="002B56B4" w:rsidRDefault="000E0A51" w:rsidP="007345A8">
      <w:pPr>
        <w:pStyle w:val="BulletL1"/>
        <w:numPr>
          <w:ilvl w:val="0"/>
          <w:numId w:val="2"/>
        </w:numPr>
        <w:spacing w:after="120" w:line="240" w:lineRule="auto"/>
        <w:rPr>
          <w:rFonts w:ascii="Arial" w:hAnsi="Arial" w:cs="Arial"/>
          <w:sz w:val="22"/>
          <w:szCs w:val="22"/>
        </w:rPr>
      </w:pPr>
      <w:r w:rsidRPr="002B56B4">
        <w:rPr>
          <w:rFonts w:ascii="Arial" w:hAnsi="Arial" w:cs="Arial"/>
          <w:sz w:val="22"/>
          <w:szCs w:val="22"/>
        </w:rPr>
        <w:t>special rates and charges</w:t>
      </w:r>
    </w:p>
    <w:p w:rsidR="000E0A51" w:rsidRPr="002B56B4" w:rsidRDefault="000E0A51" w:rsidP="007345A8">
      <w:pPr>
        <w:pStyle w:val="BulletL1Last"/>
        <w:numPr>
          <w:ilvl w:val="0"/>
          <w:numId w:val="2"/>
        </w:numPr>
        <w:spacing w:after="120" w:line="240" w:lineRule="auto"/>
        <w:rPr>
          <w:rFonts w:ascii="Arial" w:hAnsi="Arial" w:cs="Arial"/>
          <w:sz w:val="22"/>
          <w:szCs w:val="22"/>
        </w:rPr>
      </w:pPr>
      <w:proofErr w:type="gramStart"/>
      <w:r w:rsidRPr="002B56B4">
        <w:rPr>
          <w:rFonts w:ascii="Arial" w:hAnsi="Arial" w:cs="Arial"/>
          <w:sz w:val="22"/>
          <w:szCs w:val="22"/>
        </w:rPr>
        <w:t>rebates</w:t>
      </w:r>
      <w:proofErr w:type="gramEnd"/>
      <w:r w:rsidRPr="002B56B4">
        <w:rPr>
          <w:rFonts w:ascii="Arial" w:hAnsi="Arial" w:cs="Arial"/>
          <w:sz w:val="22"/>
          <w:szCs w:val="22"/>
        </w:rPr>
        <w:t>, deferments, concessions and exemptions.</w:t>
      </w:r>
    </w:p>
    <w:p w:rsidR="000E0A51" w:rsidRPr="002B56B4" w:rsidRDefault="000A72C2" w:rsidP="007345A8">
      <w:pPr>
        <w:pStyle w:val="Body"/>
        <w:spacing w:after="120" w:line="240" w:lineRule="auto"/>
        <w:rPr>
          <w:rFonts w:ascii="Arial" w:hAnsi="Arial" w:cs="Arial"/>
          <w:sz w:val="22"/>
          <w:szCs w:val="22"/>
        </w:rPr>
      </w:pPr>
      <w:r>
        <w:rPr>
          <w:rFonts w:ascii="Arial" w:hAnsi="Arial" w:cs="Arial"/>
          <w:sz w:val="22"/>
          <w:szCs w:val="22"/>
        </w:rPr>
        <w:t>Several propositions a</w:t>
      </w:r>
      <w:r w:rsidR="000E0A51" w:rsidRPr="002B56B4">
        <w:rPr>
          <w:rFonts w:ascii="Arial" w:hAnsi="Arial" w:cs="Arial"/>
          <w:sz w:val="22"/>
          <w:szCs w:val="22"/>
        </w:rPr>
        <w:t xml:space="preserve">re </w:t>
      </w:r>
      <w:r w:rsidR="00C2725F">
        <w:rPr>
          <w:rFonts w:ascii="Arial" w:hAnsi="Arial" w:cs="Arial"/>
          <w:sz w:val="22"/>
          <w:szCs w:val="22"/>
        </w:rPr>
        <w:t>considered in</w:t>
      </w:r>
      <w:r w:rsidR="000E0A51" w:rsidRPr="002B56B4">
        <w:rPr>
          <w:rFonts w:ascii="Arial" w:hAnsi="Arial" w:cs="Arial"/>
          <w:sz w:val="22"/>
          <w:szCs w:val="22"/>
        </w:rPr>
        <w:t xml:space="preserve"> develop</w:t>
      </w:r>
      <w:r w:rsidR="00C2725F">
        <w:rPr>
          <w:rFonts w:ascii="Arial" w:hAnsi="Arial" w:cs="Arial"/>
          <w:sz w:val="22"/>
          <w:szCs w:val="22"/>
        </w:rPr>
        <w:t>ing</w:t>
      </w:r>
      <w:r w:rsidR="000E0A51" w:rsidRPr="002B56B4">
        <w:rPr>
          <w:rFonts w:ascii="Arial" w:hAnsi="Arial" w:cs="Arial"/>
          <w:sz w:val="22"/>
          <w:szCs w:val="22"/>
        </w:rPr>
        <w:t xml:space="preserve"> the most suitable rating s</w:t>
      </w:r>
      <w:r>
        <w:rPr>
          <w:rFonts w:ascii="Arial" w:hAnsi="Arial" w:cs="Arial"/>
          <w:sz w:val="22"/>
          <w:szCs w:val="22"/>
        </w:rPr>
        <w:t>ystem. This entailed</w:t>
      </w:r>
      <w:r w:rsidR="000E0A51" w:rsidRPr="002B56B4">
        <w:rPr>
          <w:rFonts w:ascii="Arial" w:hAnsi="Arial" w:cs="Arial"/>
          <w:sz w:val="22"/>
          <w:szCs w:val="22"/>
        </w:rPr>
        <w:t xml:space="preserve"> giving consideration to a number of factors, such as: </w:t>
      </w:r>
    </w:p>
    <w:p w:rsidR="000E0A51" w:rsidRPr="002B56B4" w:rsidRDefault="000E0A51" w:rsidP="007345A8">
      <w:pPr>
        <w:pStyle w:val="BulletL1"/>
        <w:numPr>
          <w:ilvl w:val="0"/>
          <w:numId w:val="3"/>
        </w:numPr>
        <w:spacing w:after="120" w:line="240" w:lineRule="auto"/>
        <w:ind w:left="567"/>
        <w:rPr>
          <w:rFonts w:ascii="Arial" w:hAnsi="Arial" w:cs="Arial"/>
          <w:sz w:val="22"/>
          <w:szCs w:val="22"/>
        </w:rPr>
      </w:pPr>
      <w:r w:rsidRPr="002B56B4">
        <w:rPr>
          <w:rFonts w:ascii="Arial" w:hAnsi="Arial" w:cs="Arial"/>
          <w:sz w:val="22"/>
          <w:szCs w:val="22"/>
        </w:rPr>
        <w:t>equity of the system</w:t>
      </w:r>
    </w:p>
    <w:p w:rsidR="000E0A51" w:rsidRPr="002B56B4" w:rsidRDefault="000E0A51" w:rsidP="007345A8">
      <w:pPr>
        <w:pStyle w:val="BulletL1"/>
        <w:numPr>
          <w:ilvl w:val="0"/>
          <w:numId w:val="3"/>
        </w:numPr>
        <w:spacing w:after="120" w:line="240" w:lineRule="auto"/>
        <w:ind w:left="567"/>
        <w:rPr>
          <w:rFonts w:ascii="Arial" w:hAnsi="Arial" w:cs="Arial"/>
          <w:sz w:val="22"/>
          <w:szCs w:val="22"/>
        </w:rPr>
      </w:pPr>
      <w:r w:rsidRPr="002B56B4">
        <w:rPr>
          <w:rFonts w:ascii="Arial" w:hAnsi="Arial" w:cs="Arial"/>
          <w:sz w:val="22"/>
          <w:szCs w:val="22"/>
        </w:rPr>
        <w:t>efficiency of application</w:t>
      </w:r>
    </w:p>
    <w:p w:rsidR="000E0A51" w:rsidRPr="002B56B4" w:rsidRDefault="000E0A51" w:rsidP="007345A8">
      <w:pPr>
        <w:pStyle w:val="BulletL1Last"/>
        <w:numPr>
          <w:ilvl w:val="0"/>
          <w:numId w:val="3"/>
        </w:numPr>
        <w:spacing w:after="120" w:line="240" w:lineRule="auto"/>
        <w:ind w:left="567"/>
        <w:rPr>
          <w:rFonts w:ascii="Arial" w:hAnsi="Arial" w:cs="Arial"/>
          <w:sz w:val="22"/>
          <w:szCs w:val="22"/>
        </w:rPr>
      </w:pPr>
      <w:proofErr w:type="gramStart"/>
      <w:r w:rsidRPr="002B56B4">
        <w:rPr>
          <w:rFonts w:ascii="Arial" w:hAnsi="Arial" w:cs="Arial"/>
          <w:sz w:val="22"/>
          <w:szCs w:val="22"/>
        </w:rPr>
        <w:t>the</w:t>
      </w:r>
      <w:proofErr w:type="gramEnd"/>
      <w:r w:rsidRPr="002B56B4">
        <w:rPr>
          <w:rFonts w:ascii="Arial" w:hAnsi="Arial" w:cs="Arial"/>
          <w:sz w:val="22"/>
          <w:szCs w:val="22"/>
        </w:rPr>
        <w:t xml:space="preserve"> link between rate levied and benefit to be derived.</w:t>
      </w:r>
    </w:p>
    <w:p w:rsidR="000E0A51" w:rsidRPr="002B56B4" w:rsidRDefault="000E0A51" w:rsidP="007345A8">
      <w:pPr>
        <w:pStyle w:val="BulletL1"/>
        <w:numPr>
          <w:ilvl w:val="0"/>
          <w:numId w:val="4"/>
        </w:numPr>
        <w:spacing w:after="120" w:line="240" w:lineRule="auto"/>
        <w:ind w:left="567"/>
        <w:rPr>
          <w:rFonts w:ascii="Arial" w:hAnsi="Arial" w:cs="Arial"/>
          <w:sz w:val="22"/>
          <w:szCs w:val="22"/>
        </w:rPr>
      </w:pPr>
      <w:r w:rsidRPr="002B56B4">
        <w:rPr>
          <w:rFonts w:ascii="Arial" w:hAnsi="Arial" w:cs="Arial"/>
          <w:sz w:val="22"/>
          <w:szCs w:val="22"/>
        </w:rPr>
        <w:t>the valuation base of rates</w:t>
      </w:r>
    </w:p>
    <w:p w:rsidR="000E0A51" w:rsidRPr="002B56B4" w:rsidRDefault="000E0A51" w:rsidP="007345A8">
      <w:pPr>
        <w:pStyle w:val="BulletL1"/>
        <w:numPr>
          <w:ilvl w:val="0"/>
          <w:numId w:val="4"/>
        </w:numPr>
        <w:spacing w:after="120" w:line="240" w:lineRule="auto"/>
        <w:ind w:left="567"/>
        <w:rPr>
          <w:rFonts w:ascii="Arial" w:hAnsi="Arial" w:cs="Arial"/>
          <w:sz w:val="22"/>
          <w:szCs w:val="22"/>
        </w:rPr>
      </w:pPr>
      <w:r w:rsidRPr="002B56B4">
        <w:rPr>
          <w:rFonts w:ascii="Arial" w:hAnsi="Arial" w:cs="Arial"/>
          <w:sz w:val="22"/>
          <w:szCs w:val="22"/>
        </w:rPr>
        <w:t>A differential rating system with and without a municipal charge</w:t>
      </w:r>
    </w:p>
    <w:p w:rsidR="000E0A51" w:rsidRPr="002B56B4" w:rsidRDefault="000E0A51" w:rsidP="007345A8">
      <w:pPr>
        <w:pStyle w:val="BulletL1"/>
        <w:numPr>
          <w:ilvl w:val="0"/>
          <w:numId w:val="4"/>
        </w:numPr>
        <w:spacing w:after="120" w:line="240" w:lineRule="auto"/>
        <w:ind w:left="567"/>
        <w:rPr>
          <w:rFonts w:ascii="Arial" w:hAnsi="Arial" w:cs="Arial"/>
          <w:sz w:val="22"/>
          <w:szCs w:val="22"/>
        </w:rPr>
      </w:pPr>
      <w:r w:rsidRPr="002B56B4">
        <w:rPr>
          <w:rFonts w:ascii="Arial" w:hAnsi="Arial" w:cs="Arial"/>
          <w:sz w:val="22"/>
          <w:szCs w:val="22"/>
        </w:rPr>
        <w:t>The use of rebates and deferment schemes</w:t>
      </w:r>
    </w:p>
    <w:p w:rsidR="000E0A51" w:rsidRPr="002B56B4" w:rsidRDefault="000E0A51" w:rsidP="007345A8">
      <w:pPr>
        <w:pStyle w:val="BulletL1"/>
        <w:numPr>
          <w:ilvl w:val="0"/>
          <w:numId w:val="4"/>
        </w:numPr>
        <w:spacing w:after="120" w:line="240" w:lineRule="auto"/>
        <w:ind w:left="567"/>
        <w:rPr>
          <w:rFonts w:ascii="Arial" w:hAnsi="Arial" w:cs="Arial"/>
          <w:sz w:val="22"/>
          <w:szCs w:val="22"/>
        </w:rPr>
      </w:pPr>
      <w:r w:rsidRPr="002B56B4">
        <w:rPr>
          <w:rFonts w:ascii="Arial" w:hAnsi="Arial" w:cs="Arial"/>
          <w:sz w:val="22"/>
          <w:szCs w:val="22"/>
        </w:rPr>
        <w:t>Policy approaches for exemptions and concessions</w:t>
      </w:r>
    </w:p>
    <w:p w:rsidR="000E0A51" w:rsidRPr="002B56B4" w:rsidRDefault="000E0A51" w:rsidP="007345A8">
      <w:pPr>
        <w:pStyle w:val="Body0"/>
        <w:numPr>
          <w:ilvl w:val="0"/>
          <w:numId w:val="4"/>
        </w:numPr>
        <w:spacing w:after="120" w:line="240" w:lineRule="auto"/>
        <w:ind w:left="567"/>
        <w:rPr>
          <w:rFonts w:ascii="Arial" w:hAnsi="Arial" w:cs="Arial"/>
          <w:sz w:val="22"/>
          <w:szCs w:val="22"/>
        </w:rPr>
      </w:pPr>
      <w:r w:rsidRPr="002B56B4">
        <w:rPr>
          <w:rFonts w:ascii="Arial" w:hAnsi="Arial" w:cs="Arial"/>
          <w:sz w:val="22"/>
          <w:szCs w:val="22"/>
        </w:rPr>
        <w:t>Rating of cultural and recreational land.</w:t>
      </w:r>
    </w:p>
    <w:p w:rsidR="008B69DD" w:rsidRPr="002B56B4" w:rsidRDefault="008B69DD" w:rsidP="007345A8">
      <w:pPr>
        <w:pStyle w:val="Body0"/>
        <w:spacing w:after="120" w:line="240" w:lineRule="auto"/>
        <w:rPr>
          <w:rFonts w:ascii="Arial" w:hAnsi="Arial" w:cs="Arial"/>
          <w:b/>
          <w:color w:val="4F6228" w:themeColor="accent3" w:themeShade="80"/>
          <w:sz w:val="22"/>
          <w:szCs w:val="22"/>
        </w:rPr>
      </w:pPr>
    </w:p>
    <w:p w:rsidR="00DA5460" w:rsidRPr="002B56B4" w:rsidRDefault="00DA5460" w:rsidP="007345A8">
      <w:pPr>
        <w:pStyle w:val="Heading2"/>
        <w:numPr>
          <w:ilvl w:val="1"/>
          <w:numId w:val="21"/>
        </w:numPr>
        <w:spacing w:before="0" w:after="120" w:line="240" w:lineRule="auto"/>
        <w:rPr>
          <w:rFonts w:ascii="Arial" w:hAnsi="Arial" w:cs="Arial"/>
          <w:b/>
          <w:color w:val="4F6228" w:themeColor="accent3" w:themeShade="80"/>
          <w:spacing w:val="-3"/>
          <w:sz w:val="22"/>
          <w:szCs w:val="22"/>
        </w:rPr>
      </w:pPr>
      <w:r w:rsidRPr="002B56B4">
        <w:rPr>
          <w:rFonts w:ascii="Arial" w:hAnsi="Arial" w:cs="Arial"/>
          <w:b/>
          <w:color w:val="4F6228" w:themeColor="accent3" w:themeShade="80"/>
          <w:spacing w:val="-3"/>
          <w:sz w:val="22"/>
          <w:szCs w:val="22"/>
        </w:rPr>
        <w:t>Valuation Base</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In raising Council rates, C</w:t>
      </w:r>
      <w:r w:rsidR="00675C45">
        <w:rPr>
          <w:rFonts w:ascii="Arial" w:hAnsi="Arial" w:cs="Arial"/>
          <w:sz w:val="22"/>
          <w:szCs w:val="22"/>
        </w:rPr>
        <w:t xml:space="preserve">ouncil is required to </w:t>
      </w:r>
      <w:r w:rsidRPr="002B56B4">
        <w:rPr>
          <w:rFonts w:ascii="Arial" w:hAnsi="Arial" w:cs="Arial"/>
          <w:sz w:val="22"/>
          <w:szCs w:val="22"/>
        </w:rPr>
        <w:t xml:space="preserve">use the valuation of the rateable property to levy rates, with the valuation updated </w:t>
      </w:r>
      <w:r w:rsidR="00675C45">
        <w:rPr>
          <w:rFonts w:ascii="Arial" w:hAnsi="Arial" w:cs="Arial"/>
          <w:sz w:val="22"/>
          <w:szCs w:val="22"/>
        </w:rPr>
        <w:t>annually</w:t>
      </w:r>
      <w:r w:rsidRPr="002B56B4">
        <w:rPr>
          <w:rFonts w:ascii="Arial" w:hAnsi="Arial" w:cs="Arial"/>
          <w:sz w:val="22"/>
          <w:szCs w:val="22"/>
        </w:rPr>
        <w:t xml:space="preserve">. </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 xml:space="preserve">The </w:t>
      </w:r>
      <w:r w:rsidRPr="002B56B4">
        <w:rPr>
          <w:rFonts w:ascii="Arial" w:hAnsi="Arial" w:cs="Arial"/>
          <w:i/>
          <w:sz w:val="22"/>
          <w:szCs w:val="22"/>
        </w:rPr>
        <w:t>Local Government Act</w:t>
      </w:r>
      <w:r w:rsidR="006F33C5" w:rsidRPr="002B56B4">
        <w:rPr>
          <w:rFonts w:ascii="Arial" w:hAnsi="Arial" w:cs="Arial"/>
          <w:i/>
          <w:sz w:val="22"/>
          <w:szCs w:val="22"/>
        </w:rPr>
        <w:t xml:space="preserve"> 2020</w:t>
      </w:r>
      <w:r w:rsidRPr="002B56B4">
        <w:rPr>
          <w:rFonts w:ascii="Arial" w:hAnsi="Arial" w:cs="Arial"/>
          <w:sz w:val="22"/>
          <w:szCs w:val="22"/>
        </w:rPr>
        <w:t xml:space="preserve"> </w:t>
      </w:r>
      <w:r w:rsidR="00675C45">
        <w:rPr>
          <w:rFonts w:ascii="Arial" w:hAnsi="Arial" w:cs="Arial"/>
          <w:sz w:val="22"/>
          <w:szCs w:val="22"/>
        </w:rPr>
        <w:t xml:space="preserve">(the Act) </w:t>
      </w:r>
      <w:r w:rsidRPr="002B56B4">
        <w:rPr>
          <w:rFonts w:ascii="Arial" w:hAnsi="Arial" w:cs="Arial"/>
          <w:sz w:val="22"/>
          <w:szCs w:val="22"/>
        </w:rPr>
        <w:t xml:space="preserve">permits Councils to use three valuation basis; Site Value (SV), Capital Improved Value (CIV) and Net Annual Value (NAV). </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color w:val="4F6228" w:themeColor="accent3" w:themeShade="80"/>
          <w:sz w:val="22"/>
          <w:szCs w:val="22"/>
        </w:rPr>
        <w:t xml:space="preserve">Capital Improved Value – </w:t>
      </w:r>
      <w:r w:rsidRPr="002B56B4">
        <w:rPr>
          <w:rFonts w:ascii="Arial" w:hAnsi="Arial" w:cs="Arial"/>
          <w:sz w:val="22"/>
          <w:szCs w:val="22"/>
        </w:rPr>
        <w:t>the total market value of the land plus buildings and other improvements.</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color w:val="4F6228" w:themeColor="accent3" w:themeShade="80"/>
          <w:sz w:val="22"/>
          <w:szCs w:val="22"/>
        </w:rPr>
        <w:t xml:space="preserve">Net Annual Value – </w:t>
      </w:r>
      <w:r w:rsidRPr="002B56B4">
        <w:rPr>
          <w:rFonts w:ascii="Arial" w:hAnsi="Arial" w:cs="Arial"/>
          <w:sz w:val="22"/>
          <w:szCs w:val="22"/>
        </w:rPr>
        <w:t>the current value of a property’s net annual rent (by law, Net Annual Value must be at least 5% of the Capital Improved Value for commercial property and exactly 5% of Capital Improved Value for residential property).</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color w:val="4F6228" w:themeColor="accent3" w:themeShade="80"/>
          <w:sz w:val="22"/>
          <w:szCs w:val="22"/>
        </w:rPr>
        <w:t xml:space="preserve">Site Value – </w:t>
      </w:r>
      <w:r w:rsidRPr="002B56B4">
        <w:rPr>
          <w:rFonts w:ascii="Arial" w:hAnsi="Arial" w:cs="Arial"/>
          <w:sz w:val="22"/>
          <w:szCs w:val="22"/>
        </w:rPr>
        <w:t>the market value of the land only.</w:t>
      </w:r>
    </w:p>
    <w:p w:rsidR="008F554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 xml:space="preserve">Capital Improved Value (CIV) better reflects capacity to pay than the other two bases as it incorporates the developed value of properties i.e. the total value. </w:t>
      </w:r>
      <w:r w:rsidR="00675C45">
        <w:rPr>
          <w:rFonts w:ascii="Arial" w:hAnsi="Arial" w:cs="Arial"/>
          <w:sz w:val="22"/>
          <w:szCs w:val="22"/>
        </w:rPr>
        <w:t>Most Victorian councils use</w:t>
      </w:r>
      <w:r w:rsidR="008F5540" w:rsidRPr="002B56B4">
        <w:rPr>
          <w:rFonts w:ascii="Arial" w:hAnsi="Arial" w:cs="Arial"/>
          <w:sz w:val="22"/>
          <w:szCs w:val="22"/>
        </w:rPr>
        <w:t xml:space="preserve"> the Capital Improved Value to levy rates.  </w:t>
      </w:r>
    </w:p>
    <w:p w:rsidR="008F5540" w:rsidRPr="002B56B4" w:rsidRDefault="008F5540" w:rsidP="007345A8">
      <w:pPr>
        <w:pStyle w:val="Body0"/>
        <w:spacing w:after="120" w:line="240" w:lineRule="auto"/>
        <w:rPr>
          <w:rFonts w:ascii="Arial" w:hAnsi="Arial" w:cs="Arial"/>
          <w:color w:val="4F6228" w:themeColor="accent3" w:themeShade="80"/>
          <w:sz w:val="22"/>
          <w:szCs w:val="22"/>
        </w:rPr>
      </w:pPr>
      <w:r w:rsidRPr="002B56B4">
        <w:rPr>
          <w:rFonts w:ascii="Arial" w:hAnsi="Arial" w:cs="Arial"/>
          <w:color w:val="4F6228" w:themeColor="accent3" w:themeShade="80"/>
          <w:sz w:val="22"/>
          <w:szCs w:val="22"/>
        </w:rPr>
        <w:t>Basis of Valuation</w:t>
      </w:r>
    </w:p>
    <w:p w:rsidR="00B5688F"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 xml:space="preserve">The basis of valuation currently used by Nillumbik is the Capital Improved Value (CIV), in compliance with the Fair Go Rates System and the Act. </w:t>
      </w:r>
    </w:p>
    <w:p w:rsidR="00813303" w:rsidRDefault="00813303" w:rsidP="007345A8">
      <w:pPr>
        <w:pStyle w:val="Body0"/>
        <w:spacing w:after="120" w:line="240" w:lineRule="auto"/>
        <w:rPr>
          <w:rFonts w:ascii="Arial" w:hAnsi="Arial" w:cs="Arial"/>
          <w:sz w:val="22"/>
          <w:szCs w:val="22"/>
        </w:rPr>
      </w:pPr>
    </w:p>
    <w:p w:rsidR="00813303" w:rsidRDefault="00813303" w:rsidP="007345A8">
      <w:pPr>
        <w:pStyle w:val="Body0"/>
        <w:spacing w:after="120" w:line="240" w:lineRule="auto"/>
        <w:rPr>
          <w:rFonts w:ascii="Arial" w:hAnsi="Arial" w:cs="Arial"/>
          <w:sz w:val="22"/>
          <w:szCs w:val="22"/>
        </w:rPr>
      </w:pPr>
    </w:p>
    <w:p w:rsidR="00813303" w:rsidRPr="000265DB" w:rsidRDefault="00813303" w:rsidP="007345A8">
      <w:pPr>
        <w:pStyle w:val="Body0"/>
        <w:spacing w:after="120" w:line="240" w:lineRule="auto"/>
        <w:rPr>
          <w:rFonts w:ascii="Arial" w:hAnsi="Arial" w:cs="Arial"/>
          <w:sz w:val="22"/>
          <w:szCs w:val="22"/>
        </w:rPr>
      </w:pPr>
    </w:p>
    <w:p w:rsidR="00DA5460" w:rsidRPr="002B56B4" w:rsidRDefault="00DA5460"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Differential rates</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Differential rates are where councils set different rates in the dollar for different categories of rateable land. Councils are able to levy either a uniform rate across all properties, or one or more di</w:t>
      </w:r>
      <w:r w:rsidR="008F5540" w:rsidRPr="002B56B4">
        <w:rPr>
          <w:rFonts w:ascii="Arial" w:hAnsi="Arial" w:cs="Arial"/>
          <w:sz w:val="22"/>
          <w:szCs w:val="22"/>
        </w:rPr>
        <w:t>fferential rates. C</w:t>
      </w:r>
      <w:r w:rsidRPr="002B56B4">
        <w:rPr>
          <w:rFonts w:ascii="Arial" w:hAnsi="Arial" w:cs="Arial"/>
          <w:sz w:val="22"/>
          <w:szCs w:val="22"/>
        </w:rPr>
        <w:t>ouncil may, for example, have differential rates for farmland, various categories of residential property or commercial/industrial properties – each paying a high</w:t>
      </w:r>
      <w:r w:rsidR="008F5540" w:rsidRPr="002B56B4">
        <w:rPr>
          <w:rFonts w:ascii="Arial" w:hAnsi="Arial" w:cs="Arial"/>
          <w:sz w:val="22"/>
          <w:szCs w:val="22"/>
        </w:rPr>
        <w:t>er or lower rate in the dollar.</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Differential rates are usually used to achiev</w:t>
      </w:r>
      <w:r w:rsidR="008F5540" w:rsidRPr="002B56B4">
        <w:rPr>
          <w:rFonts w:ascii="Arial" w:hAnsi="Arial" w:cs="Arial"/>
          <w:sz w:val="22"/>
          <w:szCs w:val="22"/>
        </w:rPr>
        <w:t>e greater equity or efficiency.</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The highest differential rate cannot be more than four times the lowest differential rate declared by a council.</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Details of the objectives of each differential rate, the types of classes of land, which are subject to each differential rate and the uses of each differential rate, are set out below.</w:t>
      </w:r>
    </w:p>
    <w:p w:rsidR="008F5540" w:rsidRPr="002B56B4" w:rsidRDefault="008F5540" w:rsidP="007345A8">
      <w:pPr>
        <w:pStyle w:val="Body0"/>
        <w:spacing w:after="120" w:line="240" w:lineRule="auto"/>
        <w:rPr>
          <w:rFonts w:ascii="Arial" w:hAnsi="Arial" w:cs="Arial"/>
          <w:sz w:val="22"/>
          <w:szCs w:val="22"/>
        </w:rPr>
      </w:pPr>
      <w:r w:rsidRPr="0093692F">
        <w:rPr>
          <w:rFonts w:ascii="Arial" w:hAnsi="Arial" w:cs="Arial"/>
          <w:b/>
          <w:i/>
          <w:color w:val="4F6228" w:themeColor="accent3" w:themeShade="80"/>
          <w:sz w:val="22"/>
          <w:szCs w:val="22"/>
        </w:rPr>
        <w:t xml:space="preserve">Commercial land </w:t>
      </w:r>
      <w:r w:rsidRPr="0093692F">
        <w:rPr>
          <w:rFonts w:ascii="Arial" w:hAnsi="Arial" w:cs="Arial"/>
          <w:b/>
          <w:i/>
          <w:sz w:val="22"/>
          <w:szCs w:val="22"/>
        </w:rPr>
        <w:t>-</w:t>
      </w:r>
      <w:r w:rsidRPr="002B56B4">
        <w:rPr>
          <w:rFonts w:ascii="Arial" w:hAnsi="Arial" w:cs="Arial"/>
          <w:sz w:val="22"/>
          <w:szCs w:val="22"/>
        </w:rPr>
        <w:t xml:space="preserve"> any land used for commercial purposes</w:t>
      </w:r>
      <w:r w:rsidR="008B69DD" w:rsidRPr="002B56B4">
        <w:rPr>
          <w:rFonts w:ascii="Arial" w:hAnsi="Arial" w:cs="Arial"/>
          <w:sz w:val="22"/>
          <w:szCs w:val="22"/>
        </w:rPr>
        <w:t>.</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Occupied for the principal purpose of carrying out the trade in goods and services or unoccupied but zoned commercial under the State Planning Scheme</w:t>
      </w:r>
    </w:p>
    <w:p w:rsidR="008F5540" w:rsidRPr="002B56B4" w:rsidRDefault="008F5540" w:rsidP="007345A8">
      <w:pPr>
        <w:pStyle w:val="Body0"/>
        <w:spacing w:after="120" w:line="240" w:lineRule="auto"/>
        <w:rPr>
          <w:rFonts w:ascii="Arial" w:hAnsi="Arial" w:cs="Arial"/>
          <w:sz w:val="22"/>
          <w:szCs w:val="22"/>
        </w:rPr>
      </w:pPr>
      <w:r w:rsidRPr="0093692F">
        <w:rPr>
          <w:rFonts w:ascii="Arial" w:hAnsi="Arial" w:cs="Arial"/>
          <w:b/>
          <w:i/>
          <w:color w:val="4F6228" w:themeColor="accent3" w:themeShade="80"/>
          <w:sz w:val="22"/>
          <w:szCs w:val="22"/>
        </w:rPr>
        <w:t>Industrial –</w:t>
      </w:r>
      <w:r w:rsidRPr="002B56B4">
        <w:rPr>
          <w:rFonts w:ascii="Arial" w:hAnsi="Arial" w:cs="Arial"/>
          <w:sz w:val="22"/>
          <w:szCs w:val="22"/>
        </w:rPr>
        <w:t xml:space="preserve"> any land used for industrial purposes</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Occupied for the principal purpose of carrying out the manufacture or production of or unoccupied but zoned industrial under the State Planning Scheme.</w:t>
      </w:r>
    </w:p>
    <w:p w:rsidR="008F5540" w:rsidRPr="002B56B4" w:rsidRDefault="008F5540" w:rsidP="007345A8">
      <w:pPr>
        <w:pStyle w:val="Body0"/>
        <w:spacing w:after="120" w:line="240" w:lineRule="auto"/>
        <w:rPr>
          <w:rFonts w:ascii="Arial" w:hAnsi="Arial" w:cs="Arial"/>
          <w:color w:val="4F6228" w:themeColor="accent3" w:themeShade="80"/>
          <w:sz w:val="22"/>
          <w:szCs w:val="22"/>
        </w:rPr>
      </w:pPr>
      <w:r w:rsidRPr="0093692F">
        <w:rPr>
          <w:rFonts w:ascii="Arial" w:hAnsi="Arial" w:cs="Arial"/>
          <w:b/>
          <w:i/>
          <w:color w:val="4F6228" w:themeColor="accent3" w:themeShade="80"/>
          <w:sz w:val="22"/>
          <w:szCs w:val="22"/>
        </w:rPr>
        <w:t>Farm land –</w:t>
      </w:r>
      <w:r w:rsidRPr="002B56B4">
        <w:rPr>
          <w:rFonts w:ascii="Arial" w:hAnsi="Arial" w:cs="Arial"/>
          <w:color w:val="4F6228" w:themeColor="accent3" w:themeShade="80"/>
          <w:sz w:val="22"/>
          <w:szCs w:val="22"/>
        </w:rPr>
        <w:t xml:space="preserve"> </w:t>
      </w:r>
      <w:r w:rsidR="00AB7156">
        <w:rPr>
          <w:rFonts w:ascii="Arial" w:hAnsi="Arial" w:cs="Arial"/>
          <w:sz w:val="22"/>
          <w:szCs w:val="22"/>
        </w:rPr>
        <w:t>Land not less than two</w:t>
      </w:r>
      <w:r w:rsidRPr="002B56B4">
        <w:rPr>
          <w:rFonts w:ascii="Arial" w:hAnsi="Arial" w:cs="Arial"/>
          <w:sz w:val="22"/>
          <w:szCs w:val="22"/>
        </w:rPr>
        <w:t xml:space="preserve"> hectares in area; that is used primarily for grazing (including </w:t>
      </w:r>
      <w:proofErr w:type="spellStart"/>
      <w:r w:rsidRPr="002B56B4">
        <w:rPr>
          <w:rFonts w:ascii="Arial" w:hAnsi="Arial" w:cs="Arial"/>
          <w:sz w:val="22"/>
          <w:szCs w:val="22"/>
        </w:rPr>
        <w:t>agistment</w:t>
      </w:r>
      <w:proofErr w:type="spellEnd"/>
      <w:r w:rsidRPr="002B56B4">
        <w:rPr>
          <w:rFonts w:ascii="Arial" w:hAnsi="Arial" w:cs="Arial"/>
          <w:sz w:val="22"/>
          <w:szCs w:val="22"/>
        </w:rPr>
        <w:t>), dairying, pig-farming, poultry-farming, tree farming, bee-keeping, viticulture, horticulture, fruit-growing or the growing of crops of any kind or for any combination of those activities; that is used by a business.</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Land that has a significant and substantial commercial purpose or character; and that seeks to make a profit on a continuous or repetitive basis from its activities on the land; and that is making a profit from its activities on the land, or that has a reasonable prospect of making a profit from its activities on the land if it continues to operate in the way that it is operating.</w:t>
      </w:r>
    </w:p>
    <w:p w:rsidR="008F5540" w:rsidRPr="002B56B4" w:rsidRDefault="008F5540" w:rsidP="007345A8">
      <w:pPr>
        <w:pStyle w:val="Body0"/>
        <w:spacing w:after="120" w:line="240" w:lineRule="auto"/>
        <w:rPr>
          <w:rFonts w:ascii="Arial" w:hAnsi="Arial" w:cs="Arial"/>
          <w:color w:val="4F6228" w:themeColor="accent3" w:themeShade="80"/>
          <w:sz w:val="22"/>
          <w:szCs w:val="22"/>
        </w:rPr>
      </w:pPr>
      <w:r w:rsidRPr="0093692F">
        <w:rPr>
          <w:rFonts w:ascii="Arial" w:hAnsi="Arial" w:cs="Arial"/>
          <w:b/>
          <w:i/>
          <w:color w:val="4F6228" w:themeColor="accent3" w:themeShade="80"/>
          <w:sz w:val="22"/>
          <w:szCs w:val="22"/>
        </w:rPr>
        <w:t>Farm land with Sustainable Agriculture Rebate land –</w:t>
      </w:r>
      <w:r w:rsidRPr="002B56B4">
        <w:rPr>
          <w:rFonts w:ascii="Arial" w:hAnsi="Arial" w:cs="Arial"/>
          <w:color w:val="4F6228" w:themeColor="accent3" w:themeShade="80"/>
          <w:sz w:val="22"/>
          <w:szCs w:val="22"/>
        </w:rPr>
        <w:t xml:space="preserve"> </w:t>
      </w:r>
      <w:r w:rsidRPr="002B56B4">
        <w:rPr>
          <w:rFonts w:ascii="Arial" w:hAnsi="Arial" w:cs="Arial"/>
          <w:sz w:val="22"/>
          <w:szCs w:val="22"/>
        </w:rPr>
        <w:t>Used by the applicant for a single farm enterprise must comprise and aggregate of a minimum 30 hectares;</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The property in respect of which the rebate is sought is classified as Farm Land; the applicant shall satisfy detailed criteria relating to sustainable farming practices and land care principles as developed by Council.</w:t>
      </w:r>
    </w:p>
    <w:p w:rsidR="008F5540" w:rsidRPr="002B56B4" w:rsidRDefault="008F5540" w:rsidP="007345A8">
      <w:pPr>
        <w:pStyle w:val="Body0"/>
        <w:spacing w:after="120" w:line="240" w:lineRule="auto"/>
        <w:rPr>
          <w:rFonts w:ascii="Arial" w:hAnsi="Arial" w:cs="Arial"/>
          <w:color w:val="4F6228" w:themeColor="accent3" w:themeShade="80"/>
          <w:sz w:val="22"/>
          <w:szCs w:val="22"/>
        </w:rPr>
      </w:pPr>
      <w:r w:rsidRPr="0093692F">
        <w:rPr>
          <w:rFonts w:ascii="Arial" w:hAnsi="Arial" w:cs="Arial"/>
          <w:b/>
          <w:i/>
          <w:color w:val="4F6228" w:themeColor="accent3" w:themeShade="80"/>
          <w:sz w:val="22"/>
          <w:szCs w:val="22"/>
        </w:rPr>
        <w:t>Other land –</w:t>
      </w:r>
      <w:r w:rsidRPr="002B56B4">
        <w:rPr>
          <w:rFonts w:ascii="Arial" w:hAnsi="Arial" w:cs="Arial"/>
          <w:color w:val="4F6228" w:themeColor="accent3" w:themeShade="80"/>
          <w:sz w:val="22"/>
          <w:szCs w:val="22"/>
        </w:rPr>
        <w:t xml:space="preserve"> </w:t>
      </w:r>
      <w:r w:rsidRPr="002B56B4">
        <w:rPr>
          <w:rFonts w:ascii="Arial" w:hAnsi="Arial" w:cs="Arial"/>
          <w:sz w:val="22"/>
          <w:szCs w:val="22"/>
        </w:rPr>
        <w:t>Unoccupied land which is not farm land, commercial/industrial land or vacant land - residential and specified low density residential zones.</w:t>
      </w:r>
    </w:p>
    <w:p w:rsidR="008F5540" w:rsidRPr="002B56B4" w:rsidRDefault="008F5540" w:rsidP="007345A8">
      <w:pPr>
        <w:pStyle w:val="Body0"/>
        <w:spacing w:after="120" w:line="240" w:lineRule="auto"/>
        <w:rPr>
          <w:rFonts w:ascii="Arial" w:hAnsi="Arial" w:cs="Arial"/>
          <w:sz w:val="22"/>
          <w:szCs w:val="22"/>
        </w:rPr>
      </w:pPr>
      <w:r w:rsidRPr="0093692F">
        <w:rPr>
          <w:rFonts w:ascii="Arial" w:hAnsi="Arial" w:cs="Arial"/>
          <w:b/>
          <w:i/>
          <w:color w:val="4F6228" w:themeColor="accent3" w:themeShade="80"/>
          <w:sz w:val="22"/>
          <w:szCs w:val="22"/>
        </w:rPr>
        <w:t>Vacant Land –</w:t>
      </w:r>
      <w:r w:rsidRPr="002B56B4">
        <w:rPr>
          <w:rFonts w:ascii="Arial" w:hAnsi="Arial" w:cs="Arial"/>
          <w:sz w:val="22"/>
          <w:szCs w:val="22"/>
        </w:rPr>
        <w:t xml:space="preserve"> Residential and Specified Low Density Residential Zones </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General Residential / Activity Centre Zone / Neighbourhood Residential Zones and Low Density Residential Zones (LDRZ) to which Development Planning Overlay 4 applies, on which no habitable dwelling exists.</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Lots greater than 8,000 square metres in the Plenty LDRZ are excluded.</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This is a higher differential to encourage construction of new dwellings in preferred locations across the Shire.</w:t>
      </w:r>
    </w:p>
    <w:p w:rsidR="008F5540" w:rsidRPr="002B56B4" w:rsidRDefault="008F5540" w:rsidP="007345A8">
      <w:pPr>
        <w:pStyle w:val="Body0"/>
        <w:spacing w:after="120" w:line="240" w:lineRule="auto"/>
        <w:rPr>
          <w:rFonts w:ascii="Arial" w:hAnsi="Arial" w:cs="Arial"/>
          <w:sz w:val="22"/>
          <w:szCs w:val="22"/>
        </w:rPr>
      </w:pPr>
      <w:r w:rsidRPr="002B56B4">
        <w:rPr>
          <w:rFonts w:ascii="Arial" w:hAnsi="Arial" w:cs="Arial"/>
          <w:sz w:val="22"/>
          <w:szCs w:val="22"/>
        </w:rPr>
        <w:t>Rateable land under this definition includes Vic Roads land that is not used for transport or for residential properties.</w:t>
      </w:r>
    </w:p>
    <w:p w:rsidR="0093692F" w:rsidRDefault="0093692F" w:rsidP="007345A8">
      <w:pPr>
        <w:pStyle w:val="Body0"/>
        <w:spacing w:after="120" w:line="240" w:lineRule="auto"/>
        <w:rPr>
          <w:rFonts w:ascii="Arial" w:hAnsi="Arial" w:cs="Arial"/>
          <w:sz w:val="22"/>
          <w:szCs w:val="22"/>
        </w:rPr>
      </w:pPr>
    </w:p>
    <w:p w:rsidR="000A72C2" w:rsidRDefault="000A72C2" w:rsidP="007345A8">
      <w:pPr>
        <w:pStyle w:val="Body0"/>
        <w:spacing w:after="120" w:line="240" w:lineRule="auto"/>
        <w:rPr>
          <w:rFonts w:ascii="Arial" w:hAnsi="Arial" w:cs="Arial"/>
          <w:color w:val="4F6228" w:themeColor="accent3" w:themeShade="80"/>
          <w:sz w:val="22"/>
          <w:szCs w:val="22"/>
        </w:rPr>
      </w:pPr>
    </w:p>
    <w:p w:rsidR="0093692F" w:rsidRDefault="0093692F" w:rsidP="007345A8">
      <w:pPr>
        <w:pStyle w:val="Body0"/>
        <w:spacing w:after="120" w:line="240" w:lineRule="auto"/>
        <w:rPr>
          <w:rFonts w:ascii="Arial" w:hAnsi="Arial" w:cs="Arial"/>
          <w:color w:val="4F6228" w:themeColor="accent3" w:themeShade="80"/>
          <w:sz w:val="22"/>
          <w:szCs w:val="22"/>
        </w:rPr>
      </w:pPr>
    </w:p>
    <w:p w:rsidR="000A72C2" w:rsidRDefault="000A72C2" w:rsidP="007345A8">
      <w:pPr>
        <w:pStyle w:val="Body0"/>
        <w:spacing w:after="120" w:line="240" w:lineRule="auto"/>
        <w:rPr>
          <w:rFonts w:ascii="Arial" w:hAnsi="Arial" w:cs="Arial"/>
          <w:color w:val="4F6228" w:themeColor="accent3" w:themeShade="80"/>
          <w:sz w:val="22"/>
          <w:szCs w:val="22"/>
        </w:rPr>
      </w:pPr>
    </w:p>
    <w:p w:rsidR="0093692F" w:rsidRDefault="0093692F" w:rsidP="007345A8">
      <w:pPr>
        <w:pStyle w:val="Body0"/>
        <w:spacing w:after="120" w:line="240" w:lineRule="auto"/>
        <w:rPr>
          <w:rFonts w:ascii="Arial" w:hAnsi="Arial" w:cs="Arial"/>
          <w:color w:val="4F6228" w:themeColor="accent3" w:themeShade="80"/>
          <w:sz w:val="22"/>
          <w:szCs w:val="22"/>
        </w:rPr>
      </w:pPr>
    </w:p>
    <w:p w:rsidR="00813303" w:rsidRDefault="00813303" w:rsidP="007345A8">
      <w:pPr>
        <w:pStyle w:val="Body0"/>
        <w:spacing w:after="120" w:line="240" w:lineRule="auto"/>
        <w:rPr>
          <w:rFonts w:ascii="Arial" w:hAnsi="Arial" w:cs="Arial"/>
          <w:color w:val="4F6228" w:themeColor="accent3" w:themeShade="80"/>
          <w:sz w:val="22"/>
          <w:szCs w:val="22"/>
        </w:rPr>
      </w:pPr>
    </w:p>
    <w:p w:rsidR="00813303" w:rsidRDefault="00813303" w:rsidP="007345A8">
      <w:pPr>
        <w:pStyle w:val="Body0"/>
        <w:spacing w:after="120" w:line="240" w:lineRule="auto"/>
        <w:rPr>
          <w:rFonts w:ascii="Arial" w:hAnsi="Arial" w:cs="Arial"/>
          <w:color w:val="4F6228" w:themeColor="accent3" w:themeShade="80"/>
          <w:sz w:val="22"/>
          <w:szCs w:val="22"/>
        </w:rPr>
      </w:pPr>
    </w:p>
    <w:p w:rsidR="00813303" w:rsidRDefault="00813303" w:rsidP="007345A8">
      <w:pPr>
        <w:pStyle w:val="Body0"/>
        <w:spacing w:after="120" w:line="240" w:lineRule="auto"/>
        <w:rPr>
          <w:rFonts w:ascii="Arial" w:hAnsi="Arial" w:cs="Arial"/>
          <w:color w:val="4F6228" w:themeColor="accent3" w:themeShade="80"/>
          <w:sz w:val="22"/>
          <w:szCs w:val="22"/>
        </w:rPr>
      </w:pPr>
    </w:p>
    <w:p w:rsidR="008B69DD" w:rsidRPr="002B56B4" w:rsidRDefault="008B69DD" w:rsidP="007345A8">
      <w:pPr>
        <w:pStyle w:val="Body0"/>
        <w:spacing w:after="120" w:line="240" w:lineRule="auto"/>
        <w:rPr>
          <w:rFonts w:ascii="Arial" w:hAnsi="Arial" w:cs="Arial"/>
          <w:color w:val="4F6228" w:themeColor="accent3" w:themeShade="80"/>
          <w:sz w:val="22"/>
          <w:szCs w:val="22"/>
        </w:rPr>
      </w:pPr>
      <w:r w:rsidRPr="0093692F">
        <w:rPr>
          <w:rFonts w:ascii="Arial" w:hAnsi="Arial" w:cs="Arial"/>
          <w:b/>
          <w:i/>
          <w:color w:val="4F6228" w:themeColor="accent3" w:themeShade="80"/>
          <w:sz w:val="22"/>
          <w:szCs w:val="22"/>
        </w:rPr>
        <w:t>Cultural and Recreational Land –</w:t>
      </w:r>
      <w:r w:rsidRPr="002B56B4">
        <w:rPr>
          <w:rFonts w:ascii="Arial" w:hAnsi="Arial" w:cs="Arial"/>
          <w:color w:val="4F6228" w:themeColor="accent3" w:themeShade="80"/>
          <w:sz w:val="22"/>
          <w:szCs w:val="22"/>
        </w:rPr>
        <w:t xml:space="preserve"> </w:t>
      </w:r>
      <w:r w:rsidRPr="002B56B4">
        <w:rPr>
          <w:rFonts w:ascii="Arial" w:hAnsi="Arial" w:cs="Arial"/>
          <w:sz w:val="22"/>
          <w:szCs w:val="22"/>
        </w:rPr>
        <w:t>Council is required to determine an amount payable as rates in respect to recreational lands.</w:t>
      </w:r>
    </w:p>
    <w:p w:rsidR="008B69DD" w:rsidRPr="002B56B4" w:rsidRDefault="008B69DD" w:rsidP="007345A8">
      <w:pPr>
        <w:pStyle w:val="Body0"/>
        <w:spacing w:after="120" w:line="240" w:lineRule="auto"/>
        <w:rPr>
          <w:rFonts w:ascii="Arial" w:hAnsi="Arial" w:cs="Arial"/>
          <w:sz w:val="22"/>
          <w:szCs w:val="22"/>
        </w:rPr>
      </w:pPr>
      <w:r w:rsidRPr="002B56B4">
        <w:rPr>
          <w:rFonts w:ascii="Arial" w:hAnsi="Arial" w:cs="Arial"/>
          <w:sz w:val="22"/>
          <w:szCs w:val="22"/>
        </w:rPr>
        <w:t>Recreational lands are described as lands which are:</w:t>
      </w:r>
    </w:p>
    <w:p w:rsidR="008B69DD" w:rsidRPr="002B56B4" w:rsidRDefault="008B69DD" w:rsidP="007345A8">
      <w:pPr>
        <w:pStyle w:val="Body0"/>
        <w:numPr>
          <w:ilvl w:val="0"/>
          <w:numId w:val="20"/>
        </w:numPr>
        <w:spacing w:after="120" w:line="240" w:lineRule="auto"/>
        <w:rPr>
          <w:rFonts w:ascii="Arial" w:hAnsi="Arial" w:cs="Arial"/>
          <w:sz w:val="22"/>
          <w:szCs w:val="22"/>
        </w:rPr>
      </w:pPr>
      <w:r w:rsidRPr="002B56B4">
        <w:rPr>
          <w:rFonts w:ascii="Arial" w:hAnsi="Arial" w:cs="Arial"/>
          <w:sz w:val="22"/>
          <w:szCs w:val="22"/>
        </w:rPr>
        <w:t>Vested in or occupied by a body-corporate or un-incorporate which exists for the purpose of providing or promoting cultural or sporting recreational facilities or objectives.</w:t>
      </w:r>
    </w:p>
    <w:p w:rsidR="00DA5460" w:rsidRPr="002B56B4" w:rsidRDefault="008B69DD" w:rsidP="007345A8">
      <w:pPr>
        <w:pStyle w:val="Body0"/>
        <w:numPr>
          <w:ilvl w:val="0"/>
          <w:numId w:val="20"/>
        </w:numPr>
        <w:spacing w:after="120" w:line="240" w:lineRule="auto"/>
        <w:rPr>
          <w:rFonts w:ascii="Arial" w:hAnsi="Arial" w:cs="Arial"/>
          <w:sz w:val="22"/>
          <w:szCs w:val="22"/>
        </w:rPr>
      </w:pPr>
      <w:r w:rsidRPr="002B56B4">
        <w:rPr>
          <w:rFonts w:ascii="Arial" w:hAnsi="Arial" w:cs="Arial"/>
          <w:sz w:val="22"/>
          <w:szCs w:val="22"/>
        </w:rPr>
        <w:t>Which applies its profits in promoting its objectives and prohibits the payment of dividend or amount to members used for outdoor sporting recreational or cultural purposes or similar outdoor activities.</w:t>
      </w:r>
    </w:p>
    <w:p w:rsidR="00312FD1" w:rsidRPr="002B56B4" w:rsidRDefault="00312FD1" w:rsidP="007345A8">
      <w:pPr>
        <w:pStyle w:val="Body0"/>
        <w:spacing w:after="120" w:line="240" w:lineRule="auto"/>
        <w:rPr>
          <w:rFonts w:ascii="Arial" w:hAnsi="Arial" w:cs="Arial"/>
          <w:sz w:val="22"/>
          <w:szCs w:val="22"/>
        </w:rPr>
      </w:pPr>
    </w:p>
    <w:p w:rsidR="000E0A51" w:rsidRPr="002B56B4" w:rsidRDefault="000E0A51"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Proposed rating system</w:t>
      </w:r>
    </w:p>
    <w:p w:rsidR="00312FD1" w:rsidRPr="002B56B4" w:rsidRDefault="00312FD1" w:rsidP="007345A8">
      <w:pPr>
        <w:pStyle w:val="Heading2"/>
        <w:spacing w:before="0" w:after="120" w:line="240" w:lineRule="auto"/>
        <w:ind w:left="0" w:firstLine="0"/>
        <w:rPr>
          <w:rFonts w:ascii="Arial" w:hAnsi="Arial" w:cs="Arial"/>
          <w:color w:val="4F6228" w:themeColor="accent3" w:themeShade="80"/>
          <w:spacing w:val="-3"/>
          <w:sz w:val="22"/>
          <w:szCs w:val="22"/>
        </w:rPr>
      </w:pPr>
      <w:r w:rsidRPr="002B56B4">
        <w:rPr>
          <w:rFonts w:ascii="Arial" w:hAnsi="Arial" w:cs="Arial"/>
          <w:color w:val="4F6228" w:themeColor="accent3" w:themeShade="80"/>
          <w:spacing w:val="-3"/>
          <w:sz w:val="22"/>
          <w:szCs w:val="22"/>
        </w:rPr>
        <w:t>Rate in the dollar,</w:t>
      </w:r>
      <w:r w:rsidR="0082268B" w:rsidRPr="0082268B">
        <w:rPr>
          <w:rFonts w:cs="Arial"/>
          <w:color w:val="4F6228" w:themeColor="accent3" w:themeShade="80"/>
          <w:spacing w:val="-3"/>
          <w:szCs w:val="22"/>
        </w:rPr>
        <w:t xml:space="preserve"> </w:t>
      </w:r>
      <w:r w:rsidRPr="002B56B4">
        <w:rPr>
          <w:rFonts w:ascii="Arial" w:hAnsi="Arial" w:cs="Arial"/>
          <w:color w:val="4F6228" w:themeColor="accent3" w:themeShade="80"/>
          <w:spacing w:val="-3"/>
          <w:sz w:val="22"/>
          <w:szCs w:val="22"/>
        </w:rPr>
        <w:t xml:space="preserve">proposed draft budget 2021-2022 </w:t>
      </w:r>
    </w:p>
    <w:p w:rsidR="008B69DD" w:rsidRPr="002B56B4" w:rsidRDefault="000A72C2" w:rsidP="007345A8">
      <w:pPr>
        <w:pStyle w:val="Heading2"/>
        <w:spacing w:before="0" w:after="120" w:line="240" w:lineRule="auto"/>
        <w:ind w:left="0" w:firstLine="0"/>
        <w:rPr>
          <w:rFonts w:ascii="Arial" w:hAnsi="Arial" w:cs="Arial"/>
          <w:b/>
          <w:color w:val="4F6228" w:themeColor="accent3" w:themeShade="80"/>
          <w:spacing w:val="-3"/>
          <w:sz w:val="22"/>
          <w:szCs w:val="22"/>
        </w:rPr>
      </w:pPr>
      <w:r w:rsidRPr="000A72C2">
        <w:rPr>
          <w:noProof/>
          <w:lang w:val="en-AU" w:eastAsia="en-AU"/>
        </w:rPr>
        <w:drawing>
          <wp:inline distT="0" distB="0" distL="0" distR="0">
            <wp:extent cx="4924425" cy="1343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343025"/>
                    </a:xfrm>
                    <a:prstGeom prst="rect">
                      <a:avLst/>
                    </a:prstGeom>
                    <a:noFill/>
                    <a:ln>
                      <a:noFill/>
                    </a:ln>
                  </pic:spPr>
                </pic:pic>
              </a:graphicData>
            </a:graphic>
          </wp:inline>
        </w:drawing>
      </w:r>
    </w:p>
    <w:p w:rsidR="00CE05AB" w:rsidRPr="002B56B4" w:rsidRDefault="005A2CD4" w:rsidP="007345A8">
      <w:pPr>
        <w:pStyle w:val="Heading2"/>
        <w:spacing w:before="0" w:after="120" w:line="240" w:lineRule="auto"/>
        <w:ind w:left="0" w:firstLine="0"/>
        <w:rPr>
          <w:rFonts w:ascii="Arial" w:hAnsi="Arial" w:cs="Arial"/>
          <w:color w:val="4F6228" w:themeColor="accent3" w:themeShade="80"/>
          <w:spacing w:val="-3"/>
          <w:sz w:val="22"/>
          <w:szCs w:val="22"/>
        </w:rPr>
      </w:pPr>
      <w:r w:rsidRPr="002B56B4">
        <w:rPr>
          <w:rFonts w:ascii="Arial" w:hAnsi="Arial" w:cs="Arial"/>
          <w:color w:val="4F6228" w:themeColor="accent3" w:themeShade="80"/>
          <w:spacing w:val="-3"/>
          <w:sz w:val="22"/>
          <w:szCs w:val="22"/>
        </w:rPr>
        <w:t xml:space="preserve">Rates levied, proposed draft budget 2021-2022 </w:t>
      </w:r>
    </w:p>
    <w:p w:rsidR="005A2CD4" w:rsidRPr="002B56B4" w:rsidRDefault="000A72C2" w:rsidP="007345A8">
      <w:pPr>
        <w:pStyle w:val="Heading2"/>
        <w:spacing w:before="0" w:after="120" w:line="240" w:lineRule="auto"/>
        <w:ind w:left="0" w:firstLine="0"/>
        <w:rPr>
          <w:rFonts w:ascii="Arial" w:hAnsi="Arial" w:cs="Arial"/>
          <w:b/>
          <w:color w:val="4F6228" w:themeColor="accent3" w:themeShade="80"/>
          <w:spacing w:val="-3"/>
          <w:sz w:val="22"/>
          <w:szCs w:val="22"/>
        </w:rPr>
      </w:pPr>
      <w:r w:rsidRPr="000A72C2">
        <w:rPr>
          <w:noProof/>
          <w:lang w:val="en-AU" w:eastAsia="en-AU"/>
        </w:rPr>
        <w:drawing>
          <wp:inline distT="0" distB="0" distL="0" distR="0">
            <wp:extent cx="5267325" cy="1609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609725"/>
                    </a:xfrm>
                    <a:prstGeom prst="rect">
                      <a:avLst/>
                    </a:prstGeom>
                    <a:noFill/>
                    <a:ln>
                      <a:noFill/>
                    </a:ln>
                  </pic:spPr>
                </pic:pic>
              </a:graphicData>
            </a:graphic>
          </wp:inline>
        </w:drawing>
      </w:r>
    </w:p>
    <w:p w:rsidR="000E0A51" w:rsidRPr="002B56B4" w:rsidRDefault="000E0A51" w:rsidP="007345A8">
      <w:pPr>
        <w:pStyle w:val="Heading2"/>
        <w:spacing w:before="0" w:after="120" w:line="240" w:lineRule="auto"/>
        <w:ind w:left="0" w:firstLine="0"/>
        <w:rPr>
          <w:rFonts w:ascii="Arial" w:hAnsi="Arial" w:cs="Arial"/>
          <w:b/>
          <w:color w:val="4F6228" w:themeColor="accent3" w:themeShade="80"/>
          <w:spacing w:val="-3"/>
          <w:sz w:val="22"/>
          <w:szCs w:val="22"/>
        </w:rPr>
      </w:pPr>
      <w:r w:rsidRPr="002B56B4">
        <w:rPr>
          <w:rFonts w:ascii="Arial" w:hAnsi="Arial" w:cs="Arial"/>
          <w:color w:val="4F6228" w:themeColor="accent3" w:themeShade="80"/>
          <w:spacing w:val="-3"/>
          <w:sz w:val="22"/>
          <w:szCs w:val="22"/>
        </w:rPr>
        <w:t>Past and proposed rate levels</w:t>
      </w:r>
    </w:p>
    <w:p w:rsidR="000E0A51" w:rsidRDefault="000A72C2" w:rsidP="007345A8">
      <w:pPr>
        <w:pStyle w:val="Heading3"/>
        <w:spacing w:before="0" w:after="120" w:line="240" w:lineRule="auto"/>
        <w:rPr>
          <w:rFonts w:ascii="Arial" w:hAnsi="Arial" w:cs="Arial"/>
        </w:rPr>
      </w:pPr>
      <w:r w:rsidRPr="000A72C2">
        <w:rPr>
          <w:noProof/>
          <w:lang w:val="en-AU" w:eastAsia="en-AU"/>
        </w:rPr>
        <w:drawing>
          <wp:inline distT="0" distB="0" distL="0" distR="0">
            <wp:extent cx="5610225" cy="2095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095500"/>
                    </a:xfrm>
                    <a:prstGeom prst="rect">
                      <a:avLst/>
                    </a:prstGeom>
                    <a:noFill/>
                    <a:ln>
                      <a:noFill/>
                    </a:ln>
                  </pic:spPr>
                </pic:pic>
              </a:graphicData>
            </a:graphic>
          </wp:inline>
        </w:drawing>
      </w:r>
    </w:p>
    <w:p w:rsidR="0093692F" w:rsidRPr="000A72C2" w:rsidRDefault="000A72C2" w:rsidP="007345A8">
      <w:pPr>
        <w:pStyle w:val="Heading3"/>
        <w:spacing w:before="0" w:after="120" w:line="240" w:lineRule="auto"/>
        <w:rPr>
          <w:rFonts w:ascii="Arial" w:hAnsi="Arial" w:cs="Arial"/>
          <w:i/>
          <w:color w:val="auto"/>
          <w:sz w:val="20"/>
        </w:rPr>
      </w:pPr>
      <w:r w:rsidRPr="000A72C2">
        <w:rPr>
          <w:rFonts w:ascii="Arial" w:hAnsi="Arial" w:cs="Arial"/>
          <w:i/>
          <w:color w:val="auto"/>
          <w:sz w:val="20"/>
        </w:rPr>
        <w:t>*2021-2022 proposed rates to be levied</w:t>
      </w:r>
    </w:p>
    <w:p w:rsidR="000A72C2" w:rsidRDefault="000A72C2" w:rsidP="007345A8">
      <w:pPr>
        <w:pStyle w:val="Heading3"/>
        <w:spacing w:before="0" w:after="120" w:line="240" w:lineRule="auto"/>
        <w:rPr>
          <w:rFonts w:ascii="Arial" w:hAnsi="Arial" w:cs="Arial"/>
        </w:rPr>
      </w:pPr>
    </w:p>
    <w:p w:rsidR="000A72C2" w:rsidRDefault="000A72C2" w:rsidP="007345A8">
      <w:pPr>
        <w:pStyle w:val="Heading3"/>
        <w:spacing w:before="0" w:after="120" w:line="240" w:lineRule="auto"/>
        <w:rPr>
          <w:rFonts w:ascii="Arial" w:hAnsi="Arial" w:cs="Arial"/>
        </w:rPr>
      </w:pPr>
    </w:p>
    <w:p w:rsidR="000A72C2" w:rsidRDefault="000A72C2" w:rsidP="007345A8">
      <w:pPr>
        <w:pStyle w:val="Heading3"/>
        <w:spacing w:before="0" w:after="120" w:line="240" w:lineRule="auto"/>
        <w:rPr>
          <w:rFonts w:ascii="Arial" w:hAnsi="Arial" w:cs="Arial"/>
        </w:rPr>
      </w:pPr>
    </w:p>
    <w:p w:rsidR="00813303" w:rsidRDefault="00813303" w:rsidP="007345A8">
      <w:pPr>
        <w:pStyle w:val="Heading3"/>
        <w:spacing w:before="0" w:after="120" w:line="240" w:lineRule="auto"/>
        <w:rPr>
          <w:rFonts w:ascii="Arial" w:hAnsi="Arial" w:cs="Arial"/>
        </w:rPr>
      </w:pPr>
    </w:p>
    <w:p w:rsidR="00813303" w:rsidRDefault="00813303" w:rsidP="007345A8">
      <w:pPr>
        <w:pStyle w:val="Heading3"/>
        <w:spacing w:before="0" w:after="120" w:line="240" w:lineRule="auto"/>
        <w:rPr>
          <w:rFonts w:ascii="Arial" w:hAnsi="Arial" w:cs="Arial"/>
        </w:rPr>
      </w:pPr>
    </w:p>
    <w:p w:rsidR="00813303" w:rsidRDefault="00813303" w:rsidP="007345A8">
      <w:pPr>
        <w:pStyle w:val="Heading3"/>
        <w:spacing w:before="0" w:after="120" w:line="240" w:lineRule="auto"/>
        <w:rPr>
          <w:rFonts w:ascii="Arial" w:hAnsi="Arial" w:cs="Arial"/>
        </w:rPr>
      </w:pPr>
    </w:p>
    <w:p w:rsidR="000A72C2" w:rsidRPr="002B56B4" w:rsidRDefault="000A72C2" w:rsidP="007345A8">
      <w:pPr>
        <w:pStyle w:val="Heading3"/>
        <w:spacing w:before="0" w:after="120" w:line="240" w:lineRule="auto"/>
        <w:rPr>
          <w:rFonts w:ascii="Arial" w:hAnsi="Arial" w:cs="Arial"/>
        </w:rPr>
      </w:pPr>
    </w:p>
    <w:p w:rsidR="00110806" w:rsidRDefault="00110806" w:rsidP="007345A8">
      <w:pPr>
        <w:pStyle w:val="Body0"/>
        <w:numPr>
          <w:ilvl w:val="1"/>
          <w:numId w:val="21"/>
        </w:numPr>
        <w:spacing w:after="120" w:line="240" w:lineRule="auto"/>
        <w:rPr>
          <w:rFonts w:ascii="Arial" w:hAnsi="Arial" w:cs="Arial"/>
          <w:b/>
          <w:color w:val="4F6228" w:themeColor="accent3" w:themeShade="80"/>
          <w:sz w:val="22"/>
          <w:szCs w:val="22"/>
        </w:rPr>
      </w:pPr>
      <w:r>
        <w:rPr>
          <w:rFonts w:ascii="Arial" w:hAnsi="Arial" w:cs="Arial"/>
          <w:b/>
          <w:color w:val="4F6228" w:themeColor="accent3" w:themeShade="80"/>
          <w:sz w:val="22"/>
          <w:szCs w:val="22"/>
        </w:rPr>
        <w:t>Waste Service Charge</w:t>
      </w:r>
    </w:p>
    <w:p w:rsidR="00110806" w:rsidRPr="00110806" w:rsidRDefault="00110806" w:rsidP="007345A8">
      <w:pPr>
        <w:pStyle w:val="Body0"/>
        <w:spacing w:after="120" w:line="240" w:lineRule="auto"/>
        <w:rPr>
          <w:rFonts w:ascii="Arial" w:hAnsi="Arial" w:cs="Arial"/>
          <w:sz w:val="22"/>
          <w:szCs w:val="22"/>
        </w:rPr>
      </w:pPr>
      <w:r w:rsidRPr="00110806">
        <w:rPr>
          <w:rFonts w:ascii="Arial" w:hAnsi="Arial" w:cs="Arial"/>
          <w:sz w:val="22"/>
          <w:szCs w:val="22"/>
        </w:rPr>
        <w:t>The waste management charge captures all known costs associated with the provision of the service.</w:t>
      </w:r>
    </w:p>
    <w:p w:rsidR="00110806" w:rsidRPr="00110806" w:rsidRDefault="00110806" w:rsidP="007345A8">
      <w:pPr>
        <w:pStyle w:val="Body0"/>
        <w:spacing w:after="120" w:line="240" w:lineRule="auto"/>
        <w:rPr>
          <w:rFonts w:ascii="Arial" w:hAnsi="Arial" w:cs="Arial"/>
          <w:sz w:val="22"/>
          <w:szCs w:val="22"/>
        </w:rPr>
      </w:pPr>
      <w:r w:rsidRPr="00D21471">
        <w:rPr>
          <w:rFonts w:ascii="Arial" w:hAnsi="Arial" w:cs="Arial"/>
          <w:sz w:val="22"/>
          <w:szCs w:val="22"/>
        </w:rPr>
        <w:t xml:space="preserve">Council’s approach to the service charge is compliant with </w:t>
      </w:r>
      <w:r w:rsidR="007345A8" w:rsidRPr="00D21471">
        <w:rPr>
          <w:rFonts w:ascii="Arial" w:hAnsi="Arial" w:cs="Arial"/>
          <w:sz w:val="22"/>
          <w:szCs w:val="22"/>
        </w:rPr>
        <w:t>section 162 of the Local Government Act 1989</w:t>
      </w:r>
      <w:r w:rsidRPr="00D21471">
        <w:rPr>
          <w:rFonts w:ascii="Arial" w:hAnsi="Arial" w:cs="Arial"/>
          <w:sz w:val="22"/>
          <w:szCs w:val="22"/>
        </w:rPr>
        <w:t>. The Essential Services Commission is capturing the data on the waste management charge.</w:t>
      </w:r>
    </w:p>
    <w:p w:rsidR="00E43C37" w:rsidRDefault="00110806" w:rsidP="007345A8">
      <w:pPr>
        <w:pStyle w:val="Body0"/>
        <w:spacing w:after="120" w:line="240" w:lineRule="auto"/>
        <w:rPr>
          <w:rFonts w:ascii="Arial" w:hAnsi="Arial" w:cs="Arial"/>
          <w:sz w:val="22"/>
          <w:szCs w:val="22"/>
        </w:rPr>
      </w:pPr>
      <w:r w:rsidRPr="00110806">
        <w:rPr>
          <w:rFonts w:ascii="Arial" w:hAnsi="Arial" w:cs="Arial"/>
          <w:sz w:val="22"/>
          <w:szCs w:val="22"/>
        </w:rPr>
        <w:t>Currently the charge levied to residents captures the cost of service provision including known costs for the landfill rehabilitation sites.</w:t>
      </w:r>
    </w:p>
    <w:p w:rsidR="00110806" w:rsidRDefault="00110806" w:rsidP="007345A8">
      <w:pPr>
        <w:pStyle w:val="Body0"/>
        <w:spacing w:after="120" w:line="240" w:lineRule="auto"/>
        <w:rPr>
          <w:rFonts w:ascii="Arial" w:hAnsi="Arial" w:cs="Arial"/>
          <w:sz w:val="22"/>
          <w:szCs w:val="22"/>
        </w:rPr>
      </w:pPr>
      <w:r>
        <w:rPr>
          <w:rFonts w:ascii="Arial" w:hAnsi="Arial" w:cs="Arial"/>
          <w:sz w:val="22"/>
          <w:szCs w:val="22"/>
        </w:rPr>
        <w:t xml:space="preserve">The waste service charge levied is dependent on the level of service the ratepayer elects to receive. </w:t>
      </w:r>
    </w:p>
    <w:p w:rsidR="00E43C37" w:rsidRPr="00E43C37" w:rsidRDefault="00E43C37" w:rsidP="007345A8">
      <w:pPr>
        <w:pStyle w:val="Heading2"/>
        <w:spacing w:before="0" w:after="120" w:line="240" w:lineRule="auto"/>
        <w:ind w:left="0" w:firstLine="0"/>
        <w:rPr>
          <w:rFonts w:ascii="Arial" w:hAnsi="Arial" w:cs="Arial"/>
          <w:b/>
          <w:color w:val="4F6228" w:themeColor="accent3" w:themeShade="80"/>
          <w:spacing w:val="-3"/>
          <w:sz w:val="22"/>
          <w:szCs w:val="22"/>
        </w:rPr>
      </w:pPr>
      <w:r>
        <w:rPr>
          <w:rFonts w:ascii="Arial" w:hAnsi="Arial" w:cs="Arial"/>
          <w:color w:val="4F6228" w:themeColor="accent3" w:themeShade="80"/>
          <w:spacing w:val="-3"/>
          <w:sz w:val="22"/>
          <w:szCs w:val="22"/>
        </w:rPr>
        <w:t>Current</w:t>
      </w:r>
      <w:r w:rsidRPr="002B56B4">
        <w:rPr>
          <w:rFonts w:ascii="Arial" w:hAnsi="Arial" w:cs="Arial"/>
          <w:color w:val="4F6228" w:themeColor="accent3" w:themeShade="80"/>
          <w:spacing w:val="-3"/>
          <w:sz w:val="22"/>
          <w:szCs w:val="22"/>
        </w:rPr>
        <w:t xml:space="preserve"> and proposed </w:t>
      </w:r>
      <w:r>
        <w:rPr>
          <w:rFonts w:ascii="Arial" w:hAnsi="Arial" w:cs="Arial"/>
          <w:color w:val="4F6228" w:themeColor="accent3" w:themeShade="80"/>
          <w:spacing w:val="-3"/>
          <w:sz w:val="22"/>
          <w:szCs w:val="22"/>
        </w:rPr>
        <w:t>waste service charges</w:t>
      </w:r>
    </w:p>
    <w:p w:rsidR="00110806" w:rsidRDefault="00E43C37" w:rsidP="007345A8">
      <w:pPr>
        <w:pStyle w:val="Body0"/>
        <w:spacing w:after="120" w:line="240" w:lineRule="auto"/>
        <w:rPr>
          <w:rFonts w:ascii="Arial" w:hAnsi="Arial" w:cs="Arial"/>
          <w:sz w:val="22"/>
          <w:szCs w:val="22"/>
        </w:rPr>
      </w:pPr>
      <w:r w:rsidRPr="00E43C37">
        <w:rPr>
          <w:noProof/>
          <w:lang w:val="en-AU" w:eastAsia="en-AU"/>
        </w:rPr>
        <w:drawing>
          <wp:inline distT="0" distB="0" distL="0" distR="0">
            <wp:extent cx="53625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533525"/>
                    </a:xfrm>
                    <a:prstGeom prst="rect">
                      <a:avLst/>
                    </a:prstGeom>
                    <a:noFill/>
                    <a:ln>
                      <a:noFill/>
                    </a:ln>
                  </pic:spPr>
                </pic:pic>
              </a:graphicData>
            </a:graphic>
          </wp:inline>
        </w:drawing>
      </w:r>
    </w:p>
    <w:p w:rsidR="00110806" w:rsidRPr="00110806" w:rsidRDefault="00110806" w:rsidP="007345A8">
      <w:pPr>
        <w:pStyle w:val="Body0"/>
        <w:spacing w:after="120" w:line="240" w:lineRule="auto"/>
        <w:rPr>
          <w:rFonts w:ascii="Arial" w:hAnsi="Arial" w:cs="Arial"/>
          <w:sz w:val="22"/>
          <w:szCs w:val="22"/>
        </w:rPr>
      </w:pPr>
    </w:p>
    <w:p w:rsidR="00DA5460" w:rsidRPr="002B56B4" w:rsidRDefault="00DA5460"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Rate instalment due dates</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Rates and charges are due on a quarterly instalment basis. The due dates for the 2021-22 financial year will be:</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 30 September 2021,</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 30 November 2021,</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 28 February 2022 and</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 31 May 2022</w:t>
      </w:r>
    </w:p>
    <w:p w:rsidR="00DA5460" w:rsidRPr="002B56B4" w:rsidRDefault="00DA5460" w:rsidP="007345A8">
      <w:pPr>
        <w:pStyle w:val="Body0"/>
        <w:spacing w:after="120" w:line="240" w:lineRule="auto"/>
        <w:rPr>
          <w:rFonts w:ascii="Arial" w:hAnsi="Arial" w:cs="Arial"/>
          <w:sz w:val="22"/>
          <w:szCs w:val="22"/>
        </w:rPr>
      </w:pPr>
      <w:r w:rsidRPr="002B56B4">
        <w:rPr>
          <w:rFonts w:ascii="Arial" w:hAnsi="Arial" w:cs="Arial"/>
          <w:sz w:val="22"/>
          <w:szCs w:val="22"/>
        </w:rPr>
        <w:t>(</w:t>
      </w:r>
      <w:proofErr w:type="gramStart"/>
      <w:r w:rsidRPr="002B56B4">
        <w:rPr>
          <w:rFonts w:ascii="Arial" w:hAnsi="Arial" w:cs="Arial"/>
          <w:sz w:val="22"/>
          <w:szCs w:val="22"/>
        </w:rPr>
        <w:t>if</w:t>
      </w:r>
      <w:proofErr w:type="gramEnd"/>
      <w:r w:rsidRPr="002B56B4">
        <w:rPr>
          <w:rFonts w:ascii="Arial" w:hAnsi="Arial" w:cs="Arial"/>
          <w:sz w:val="22"/>
          <w:szCs w:val="22"/>
        </w:rPr>
        <w:t xml:space="preserve"> any of these dates fall on a weekend, the due date will be the following Monday).</w:t>
      </w:r>
    </w:p>
    <w:p w:rsidR="00312FD1" w:rsidRPr="002B56B4" w:rsidRDefault="00312FD1" w:rsidP="007345A8">
      <w:pPr>
        <w:pStyle w:val="Body0"/>
        <w:spacing w:after="120" w:line="240" w:lineRule="auto"/>
        <w:rPr>
          <w:rFonts w:ascii="Arial" w:hAnsi="Arial" w:cs="Arial"/>
          <w:b/>
          <w:color w:val="4F6228" w:themeColor="accent3" w:themeShade="80"/>
          <w:spacing w:val="-3"/>
          <w:sz w:val="22"/>
          <w:szCs w:val="22"/>
        </w:rPr>
      </w:pPr>
    </w:p>
    <w:p w:rsidR="000E0A51" w:rsidRPr="002B56B4" w:rsidRDefault="00CA7C28"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Rates – s</w:t>
      </w:r>
      <w:r w:rsidR="000E0A51" w:rsidRPr="002B56B4">
        <w:rPr>
          <w:rFonts w:ascii="Arial" w:hAnsi="Arial" w:cs="Arial"/>
          <w:b/>
          <w:color w:val="4F6228" w:themeColor="accent3" w:themeShade="80"/>
          <w:sz w:val="22"/>
          <w:szCs w:val="22"/>
        </w:rPr>
        <w:t>ummary</w:t>
      </w:r>
    </w:p>
    <w:p w:rsidR="000F3488" w:rsidRPr="002B56B4" w:rsidRDefault="000E0A51" w:rsidP="007345A8">
      <w:pPr>
        <w:pStyle w:val="Heading3"/>
        <w:spacing w:before="0" w:after="120" w:line="240" w:lineRule="auto"/>
        <w:rPr>
          <w:rFonts w:ascii="Arial" w:hAnsi="Arial" w:cs="Arial"/>
          <w:color w:val="auto"/>
        </w:rPr>
      </w:pPr>
      <w:r w:rsidRPr="002B56B4">
        <w:rPr>
          <w:rFonts w:ascii="Arial" w:hAnsi="Arial" w:cs="Arial"/>
          <w:color w:val="auto"/>
        </w:rPr>
        <w:t xml:space="preserve">In council’s view the proposed revenue and rating strategy puts due emphasis on equity.  </w:t>
      </w:r>
      <w:r w:rsidR="00312FD1" w:rsidRPr="002B56B4">
        <w:rPr>
          <w:rFonts w:ascii="Arial" w:hAnsi="Arial" w:cs="Arial"/>
          <w:color w:val="auto"/>
        </w:rPr>
        <w:t>The budget projections have been prepared on the basis of a 1.50 percent rate increase in 2021-2022 and 2022-23, 1.80 percent in 2023-24, 2.00 percent in 2024-2025 and 2025-2026, 2.25 percent in 2026-2027 and 2027-2028, followed by increases of 2.50 percent in each of the following years.</w:t>
      </w:r>
    </w:p>
    <w:p w:rsidR="00CA7C28" w:rsidRDefault="0093692F" w:rsidP="007345A8">
      <w:pPr>
        <w:spacing w:after="120" w:line="240" w:lineRule="auto"/>
        <w:rPr>
          <w:rFonts w:cs="Arial"/>
          <w:color w:val="auto"/>
          <w:szCs w:val="22"/>
        </w:rPr>
      </w:pPr>
      <w:r>
        <w:rPr>
          <w:rFonts w:cs="Arial"/>
          <w:color w:val="auto"/>
          <w:szCs w:val="22"/>
        </w:rPr>
        <w:br w:type="page"/>
      </w:r>
    </w:p>
    <w:p w:rsidR="00813303" w:rsidRDefault="00813303" w:rsidP="007345A8">
      <w:pPr>
        <w:spacing w:after="120" w:line="240" w:lineRule="auto"/>
        <w:rPr>
          <w:rFonts w:cs="Arial"/>
          <w:color w:val="auto"/>
          <w:szCs w:val="22"/>
        </w:rPr>
      </w:pPr>
    </w:p>
    <w:p w:rsidR="00813303" w:rsidRDefault="00813303" w:rsidP="007345A8">
      <w:pPr>
        <w:spacing w:after="120" w:line="240" w:lineRule="auto"/>
        <w:rPr>
          <w:rFonts w:cs="Arial"/>
          <w:color w:val="auto"/>
          <w:szCs w:val="22"/>
        </w:rPr>
      </w:pPr>
    </w:p>
    <w:p w:rsidR="00813303" w:rsidRPr="0093692F" w:rsidRDefault="00813303" w:rsidP="007345A8">
      <w:pPr>
        <w:spacing w:after="120" w:line="240" w:lineRule="auto"/>
        <w:rPr>
          <w:rFonts w:eastAsia="Cambria" w:cs="Arial"/>
          <w:color w:val="auto"/>
          <w:szCs w:val="22"/>
          <w:lang w:val="en-GB"/>
        </w:rPr>
      </w:pPr>
    </w:p>
    <w:p w:rsidR="009A3542" w:rsidRPr="002B56B4" w:rsidRDefault="009A3542"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sidRPr="002B56B4">
        <w:rPr>
          <w:rFonts w:ascii="Arial" w:hAnsi="Arial" w:cs="Arial"/>
          <w:b/>
          <w:color w:val="4F6228" w:themeColor="accent3" w:themeShade="80"/>
          <w:spacing w:val="-3"/>
          <w:sz w:val="22"/>
          <w:szCs w:val="22"/>
        </w:rPr>
        <w:t>Fees and Charges</w:t>
      </w:r>
    </w:p>
    <w:p w:rsidR="009A3542" w:rsidRPr="0093692F" w:rsidRDefault="009A3542" w:rsidP="007345A8">
      <w:pPr>
        <w:pStyle w:val="Heading3"/>
        <w:spacing w:before="0" w:after="120" w:line="240" w:lineRule="auto"/>
        <w:rPr>
          <w:rFonts w:ascii="Arial" w:hAnsi="Arial" w:cs="Arial"/>
          <w:color w:val="auto"/>
        </w:rPr>
      </w:pPr>
      <w:r w:rsidRPr="002B56B4">
        <w:rPr>
          <w:rFonts w:ascii="Arial" w:hAnsi="Arial" w:cs="Arial"/>
          <w:color w:val="auto"/>
        </w:rPr>
        <w:t xml:space="preserve">Council provides a wide range of services, to the community, often for a fee or charge.  The nature of these fees and charges generally depends on whether they relate to compulsory or discretionary services.  Some of these, such as statutory planning fees, are set by state government statute and are commonly known as ‘regulatory fees’.  In these cases, councils usually have no control over service pricing. </w:t>
      </w:r>
    </w:p>
    <w:p w:rsidR="009A3542" w:rsidRPr="002B56B4" w:rsidRDefault="009A3542" w:rsidP="007345A8">
      <w:pPr>
        <w:pStyle w:val="Heading3"/>
        <w:spacing w:before="0" w:after="120" w:line="240" w:lineRule="auto"/>
        <w:rPr>
          <w:rFonts w:ascii="Arial" w:hAnsi="Arial" w:cs="Arial"/>
          <w:color w:val="auto"/>
        </w:rPr>
      </w:pPr>
      <w:r w:rsidRPr="00B8536B">
        <w:rPr>
          <w:rFonts w:ascii="Arial" w:hAnsi="Arial" w:cs="Arial"/>
          <w:color w:val="auto"/>
        </w:rPr>
        <w:t xml:space="preserve">The </w:t>
      </w:r>
      <w:r w:rsidRPr="00B8536B">
        <w:rPr>
          <w:rFonts w:ascii="Arial" w:hAnsi="Arial" w:cs="Arial"/>
          <w:i/>
          <w:color w:val="auto"/>
        </w:rPr>
        <w:t>Loc</w:t>
      </w:r>
      <w:r w:rsidR="00B8536B" w:rsidRPr="00B8536B">
        <w:rPr>
          <w:rFonts w:ascii="Arial" w:hAnsi="Arial" w:cs="Arial"/>
          <w:i/>
          <w:color w:val="auto"/>
        </w:rPr>
        <w:t>al Government Act 1989</w:t>
      </w:r>
      <w:r w:rsidRPr="00B8536B">
        <w:rPr>
          <w:rFonts w:ascii="Arial" w:hAnsi="Arial" w:cs="Arial"/>
          <w:color w:val="auto"/>
        </w:rPr>
        <w:t xml:space="preserve"> gives Council</w:t>
      </w:r>
      <w:r w:rsidRPr="002B56B4">
        <w:rPr>
          <w:rFonts w:ascii="Arial" w:hAnsi="Arial" w:cs="Arial"/>
          <w:color w:val="auto"/>
        </w:rPr>
        <w:t xml:space="preserve"> the power to set these fees and charges at a level that recovers the full cost of providing the services, unless there is an overriding policy or imperative in favour of subsidisation. </w:t>
      </w:r>
    </w:p>
    <w:p w:rsidR="009A3542" w:rsidRDefault="009A3542" w:rsidP="007345A8">
      <w:pPr>
        <w:pStyle w:val="Heading3"/>
        <w:spacing w:before="0" w:after="120" w:line="240" w:lineRule="auto"/>
        <w:rPr>
          <w:rFonts w:ascii="Arial" w:hAnsi="Arial" w:cs="Arial"/>
          <w:color w:val="auto"/>
        </w:rPr>
      </w:pPr>
      <w:r w:rsidRPr="002B56B4">
        <w:rPr>
          <w:rFonts w:ascii="Arial" w:hAnsi="Arial" w:cs="Arial"/>
          <w:color w:val="auto"/>
        </w:rPr>
        <w:t>A schedule of the current user fees and charges is present</w:t>
      </w:r>
      <w:r>
        <w:rPr>
          <w:rFonts w:ascii="Arial" w:hAnsi="Arial" w:cs="Arial"/>
          <w:color w:val="auto"/>
        </w:rPr>
        <w:t xml:space="preserve">ed in Council’s annual budget. </w:t>
      </w:r>
      <w:r w:rsidRPr="002B56B4">
        <w:rPr>
          <w:rFonts w:ascii="Arial" w:hAnsi="Arial" w:cs="Arial"/>
          <w:color w:val="auto"/>
        </w:rPr>
        <w:t>Council periodically reviews all fees and charges and adjusts the levels consistent with application of the user pays principle –</w:t>
      </w:r>
      <w:r w:rsidR="00B8536B">
        <w:rPr>
          <w:rFonts w:ascii="Arial" w:hAnsi="Arial" w:cs="Arial"/>
          <w:color w:val="auto"/>
        </w:rPr>
        <w:t xml:space="preserve"> </w:t>
      </w:r>
      <w:r w:rsidRPr="002B56B4">
        <w:rPr>
          <w:rFonts w:ascii="Arial" w:hAnsi="Arial" w:cs="Arial"/>
          <w:color w:val="auto"/>
        </w:rPr>
        <w:t>the cost of providing a direct service wi</w:t>
      </w:r>
      <w:r>
        <w:rPr>
          <w:rFonts w:ascii="Arial" w:hAnsi="Arial" w:cs="Arial"/>
          <w:color w:val="auto"/>
        </w:rPr>
        <w:t>ll be met by the fees charged</w:t>
      </w:r>
      <w:r w:rsidR="00B8536B">
        <w:rPr>
          <w:rFonts w:ascii="Arial" w:hAnsi="Arial" w:cs="Arial"/>
          <w:color w:val="auto"/>
        </w:rPr>
        <w:t xml:space="preserve"> where possible</w:t>
      </w:r>
      <w:r>
        <w:rPr>
          <w:rFonts w:ascii="Arial" w:hAnsi="Arial" w:cs="Arial"/>
          <w:color w:val="auto"/>
        </w:rPr>
        <w:t xml:space="preserve">. </w:t>
      </w:r>
    </w:p>
    <w:p w:rsidR="0093692F" w:rsidRDefault="0093692F" w:rsidP="007345A8">
      <w:pPr>
        <w:pStyle w:val="Heading3"/>
        <w:spacing w:before="0" w:after="120" w:line="240" w:lineRule="auto"/>
        <w:rPr>
          <w:rFonts w:ascii="Arial" w:hAnsi="Arial" w:cs="Arial"/>
          <w:color w:val="auto"/>
        </w:rPr>
      </w:pPr>
    </w:p>
    <w:p w:rsidR="0093692F" w:rsidRPr="002B56B4" w:rsidRDefault="0093692F"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Principles</w:t>
      </w:r>
    </w:p>
    <w:p w:rsidR="0093692F" w:rsidRPr="00026083" w:rsidRDefault="0093692F" w:rsidP="007345A8">
      <w:pPr>
        <w:pStyle w:val="Body"/>
        <w:spacing w:after="120" w:line="240" w:lineRule="auto"/>
        <w:rPr>
          <w:rFonts w:ascii="Arial" w:hAnsi="Arial" w:cs="Arial"/>
          <w:sz w:val="22"/>
          <w:szCs w:val="22"/>
        </w:rPr>
      </w:pPr>
      <w:r w:rsidRPr="00026083">
        <w:rPr>
          <w:rFonts w:ascii="Arial" w:hAnsi="Arial" w:cs="Arial"/>
          <w:sz w:val="22"/>
          <w:szCs w:val="22"/>
        </w:rPr>
        <w:t>Council has developed a range of principles to determine the level of fees and charges to be applied to each service.  These principles are:</w:t>
      </w:r>
    </w:p>
    <w:p w:rsidR="00026083" w:rsidRPr="00026083" w:rsidRDefault="0093692F" w:rsidP="007345A8">
      <w:pPr>
        <w:pStyle w:val="Body"/>
        <w:numPr>
          <w:ilvl w:val="0"/>
          <w:numId w:val="24"/>
        </w:numPr>
        <w:spacing w:after="120" w:line="240" w:lineRule="auto"/>
        <w:rPr>
          <w:rFonts w:ascii="Arial" w:hAnsi="Arial" w:cs="Arial"/>
          <w:sz w:val="22"/>
          <w:szCs w:val="22"/>
        </w:rPr>
      </w:pPr>
      <w:r w:rsidRPr="00026083">
        <w:rPr>
          <w:rFonts w:ascii="Arial" w:hAnsi="Arial" w:cs="Arial"/>
          <w:sz w:val="22"/>
          <w:szCs w:val="22"/>
        </w:rPr>
        <w:t>Fees and charges are set in line with other like services through benchmarking.</w:t>
      </w:r>
    </w:p>
    <w:p w:rsidR="0093692F" w:rsidRPr="00026083" w:rsidRDefault="0093692F" w:rsidP="007345A8">
      <w:pPr>
        <w:pStyle w:val="Body"/>
        <w:numPr>
          <w:ilvl w:val="0"/>
          <w:numId w:val="24"/>
        </w:numPr>
        <w:spacing w:after="120" w:line="240" w:lineRule="auto"/>
        <w:rPr>
          <w:rFonts w:ascii="Arial" w:hAnsi="Arial" w:cs="Arial"/>
          <w:sz w:val="22"/>
          <w:szCs w:val="22"/>
        </w:rPr>
      </w:pPr>
      <w:r w:rsidRPr="00026083">
        <w:rPr>
          <w:rFonts w:ascii="Arial" w:hAnsi="Arial" w:cs="Arial"/>
          <w:sz w:val="22"/>
          <w:szCs w:val="22"/>
        </w:rPr>
        <w:t>Fees and charges are set at a level that is deemed to be fair and equitable to enable the majority of residents to access the services.</w:t>
      </w:r>
    </w:p>
    <w:p w:rsidR="00026083" w:rsidRPr="00026083" w:rsidRDefault="00026083" w:rsidP="007345A8">
      <w:pPr>
        <w:pStyle w:val="Body"/>
        <w:numPr>
          <w:ilvl w:val="0"/>
          <w:numId w:val="24"/>
        </w:numPr>
        <w:spacing w:after="120" w:line="240" w:lineRule="auto"/>
        <w:rPr>
          <w:rFonts w:ascii="Arial" w:hAnsi="Arial" w:cs="Arial"/>
          <w:sz w:val="22"/>
          <w:szCs w:val="22"/>
        </w:rPr>
      </w:pPr>
      <w:r w:rsidRPr="00026083">
        <w:rPr>
          <w:rFonts w:ascii="Arial" w:hAnsi="Arial" w:cs="Arial"/>
          <w:sz w:val="22"/>
          <w:szCs w:val="22"/>
        </w:rPr>
        <w:t>Full cost or direct cost recovery is achieved where possible.</w:t>
      </w:r>
    </w:p>
    <w:p w:rsidR="0093692F" w:rsidRPr="00026083" w:rsidRDefault="0093692F" w:rsidP="007345A8">
      <w:pPr>
        <w:pStyle w:val="Body"/>
        <w:numPr>
          <w:ilvl w:val="0"/>
          <w:numId w:val="24"/>
        </w:numPr>
        <w:spacing w:after="120" w:line="240" w:lineRule="auto"/>
        <w:rPr>
          <w:rFonts w:ascii="Arial" w:hAnsi="Arial" w:cs="Arial"/>
          <w:sz w:val="22"/>
          <w:szCs w:val="22"/>
        </w:rPr>
      </w:pPr>
      <w:r w:rsidRPr="00026083">
        <w:rPr>
          <w:rFonts w:ascii="Arial" w:hAnsi="Arial" w:cs="Arial"/>
          <w:sz w:val="22"/>
          <w:szCs w:val="22"/>
        </w:rPr>
        <w:t>Fees are charged in line with State or Federal government legislation or Local Laws.</w:t>
      </w:r>
    </w:p>
    <w:p w:rsidR="0093692F" w:rsidRPr="00026083" w:rsidRDefault="0093692F" w:rsidP="007345A8">
      <w:pPr>
        <w:pStyle w:val="Body"/>
        <w:numPr>
          <w:ilvl w:val="0"/>
          <w:numId w:val="24"/>
        </w:numPr>
        <w:spacing w:after="120" w:line="240" w:lineRule="auto"/>
        <w:rPr>
          <w:rFonts w:ascii="Arial" w:hAnsi="Arial" w:cs="Arial"/>
          <w:sz w:val="22"/>
          <w:szCs w:val="22"/>
        </w:rPr>
      </w:pPr>
      <w:r w:rsidRPr="00026083">
        <w:rPr>
          <w:rFonts w:ascii="Arial" w:hAnsi="Arial" w:cs="Arial"/>
          <w:sz w:val="22"/>
          <w:szCs w:val="22"/>
        </w:rPr>
        <w:t>Fees are charged in line with State or Federal government funding requirements.</w:t>
      </w:r>
    </w:p>
    <w:p w:rsidR="00026083" w:rsidRPr="00026083" w:rsidRDefault="00026083" w:rsidP="007345A8">
      <w:pPr>
        <w:pStyle w:val="Body"/>
        <w:numPr>
          <w:ilvl w:val="0"/>
          <w:numId w:val="24"/>
        </w:numPr>
        <w:spacing w:after="120" w:line="240" w:lineRule="auto"/>
        <w:rPr>
          <w:rFonts w:ascii="Arial" w:hAnsi="Arial" w:cs="Arial"/>
          <w:sz w:val="22"/>
          <w:szCs w:val="22"/>
        </w:rPr>
      </w:pPr>
      <w:r w:rsidRPr="00026083">
        <w:rPr>
          <w:rFonts w:ascii="Arial" w:hAnsi="Arial" w:cs="Arial"/>
          <w:sz w:val="22"/>
          <w:szCs w:val="22"/>
        </w:rPr>
        <w:t>Fees and charges are comparable to private industry.</w:t>
      </w:r>
    </w:p>
    <w:p w:rsidR="00026083" w:rsidRPr="002B56B4" w:rsidRDefault="00026083" w:rsidP="007345A8">
      <w:pPr>
        <w:pStyle w:val="Body"/>
        <w:spacing w:after="120" w:line="240" w:lineRule="auto"/>
        <w:ind w:left="720"/>
        <w:rPr>
          <w:rFonts w:ascii="Arial" w:hAnsi="Arial" w:cs="Arial"/>
          <w:sz w:val="22"/>
          <w:szCs w:val="22"/>
        </w:rPr>
      </w:pPr>
    </w:p>
    <w:p w:rsidR="000E0A51" w:rsidRPr="002B56B4" w:rsidRDefault="000E0A51"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Full Service Costing</w:t>
      </w:r>
    </w:p>
    <w:p w:rsidR="000E0A51" w:rsidRPr="002B56B4" w:rsidRDefault="000E0A51" w:rsidP="007345A8">
      <w:pPr>
        <w:pStyle w:val="Heading2"/>
        <w:spacing w:before="0" w:after="120" w:line="240" w:lineRule="auto"/>
        <w:rPr>
          <w:rFonts w:ascii="Arial" w:hAnsi="Arial" w:cs="Arial"/>
          <w:color w:val="4F6228" w:themeColor="accent3" w:themeShade="80"/>
          <w:sz w:val="22"/>
          <w:szCs w:val="22"/>
        </w:rPr>
      </w:pPr>
      <w:r w:rsidRPr="002B56B4">
        <w:rPr>
          <w:rStyle w:val="WordImportedListStyle13StylesforWordRTFImportedLists"/>
          <w:rFonts w:ascii="Arial" w:hAnsi="Arial" w:cs="Arial"/>
          <w:color w:val="4F6228" w:themeColor="accent3" w:themeShade="80"/>
          <w:sz w:val="22"/>
          <w:szCs w:val="22"/>
        </w:rPr>
        <w:t>Cost recovery</w:t>
      </w:r>
    </w:p>
    <w:p w:rsidR="000F3488" w:rsidRPr="002B56B4" w:rsidRDefault="000E0A51" w:rsidP="007345A8">
      <w:pPr>
        <w:pStyle w:val="Body"/>
        <w:spacing w:after="120" w:line="240" w:lineRule="auto"/>
        <w:rPr>
          <w:rStyle w:val="WordImportedListStyle13StylesforWordRTFImportedLists"/>
          <w:rFonts w:ascii="Arial" w:hAnsi="Arial" w:cs="Arial"/>
          <w:sz w:val="22"/>
          <w:szCs w:val="22"/>
        </w:rPr>
      </w:pPr>
      <w:r w:rsidRPr="002B56B4">
        <w:rPr>
          <w:rFonts w:ascii="Arial" w:hAnsi="Arial" w:cs="Arial"/>
          <w:sz w:val="22"/>
          <w:szCs w:val="22"/>
        </w:rPr>
        <w:t>Setting fees and charges is often determined by a notion that the fee charged for a service should correspond with the</w:t>
      </w:r>
      <w:r w:rsidR="00B8536B">
        <w:rPr>
          <w:rFonts w:ascii="Arial" w:hAnsi="Arial" w:cs="Arial"/>
          <w:sz w:val="22"/>
          <w:szCs w:val="22"/>
        </w:rPr>
        <w:t xml:space="preserve"> cost of providing the </w:t>
      </w:r>
      <w:r w:rsidR="000F3217">
        <w:rPr>
          <w:rFonts w:ascii="Arial" w:hAnsi="Arial" w:cs="Arial"/>
          <w:sz w:val="22"/>
          <w:szCs w:val="22"/>
        </w:rPr>
        <w:t>service; that</w:t>
      </w:r>
      <w:r w:rsidRPr="002B56B4">
        <w:rPr>
          <w:rFonts w:ascii="Arial" w:hAnsi="Arial" w:cs="Arial"/>
          <w:sz w:val="22"/>
          <w:szCs w:val="22"/>
        </w:rPr>
        <w:t xml:space="preserve"> is</w:t>
      </w:r>
      <w:r w:rsidR="000F3217">
        <w:rPr>
          <w:rFonts w:ascii="Arial" w:hAnsi="Arial" w:cs="Arial"/>
          <w:sz w:val="22"/>
          <w:szCs w:val="22"/>
        </w:rPr>
        <w:t>,</w:t>
      </w:r>
      <w:r w:rsidRPr="002B56B4">
        <w:rPr>
          <w:rFonts w:ascii="Arial" w:hAnsi="Arial" w:cs="Arial"/>
          <w:sz w:val="22"/>
          <w:szCs w:val="22"/>
        </w:rPr>
        <w:t xml:space="preserve"> the costs borne by the council are fully recovered.  </w:t>
      </w:r>
    </w:p>
    <w:p w:rsidR="000E0A51" w:rsidRPr="002B56B4" w:rsidRDefault="000E0A51" w:rsidP="007345A8">
      <w:pPr>
        <w:pStyle w:val="Heading2"/>
        <w:spacing w:before="0" w:after="120" w:line="240" w:lineRule="auto"/>
        <w:ind w:left="0" w:firstLine="13"/>
        <w:rPr>
          <w:rFonts w:ascii="Arial" w:hAnsi="Arial" w:cs="Arial"/>
          <w:color w:val="4F6228" w:themeColor="accent3" w:themeShade="80"/>
          <w:sz w:val="22"/>
          <w:szCs w:val="22"/>
        </w:rPr>
      </w:pPr>
      <w:r w:rsidRPr="002B56B4">
        <w:rPr>
          <w:rStyle w:val="WordImportedListStyle13StylesforWordRTFImportedLists"/>
          <w:rFonts w:ascii="Arial" w:hAnsi="Arial" w:cs="Arial"/>
          <w:color w:val="4F6228" w:themeColor="accent3" w:themeShade="80"/>
          <w:sz w:val="22"/>
          <w:szCs w:val="22"/>
        </w:rPr>
        <w:t>Council operations attracting fees and charges</w:t>
      </w:r>
    </w:p>
    <w:p w:rsidR="00E43C37" w:rsidRPr="009A3542" w:rsidRDefault="000E0A51" w:rsidP="007345A8">
      <w:pPr>
        <w:pStyle w:val="Body"/>
        <w:spacing w:after="120" w:line="240" w:lineRule="auto"/>
        <w:rPr>
          <w:rFonts w:ascii="Arial" w:hAnsi="Arial" w:cs="Arial"/>
          <w:sz w:val="22"/>
          <w:szCs w:val="22"/>
        </w:rPr>
      </w:pPr>
      <w:r w:rsidRPr="002B56B4">
        <w:rPr>
          <w:rFonts w:ascii="Arial" w:hAnsi="Arial" w:cs="Arial"/>
          <w:sz w:val="22"/>
          <w:szCs w:val="22"/>
        </w:rPr>
        <w:t xml:space="preserve">All council services </w:t>
      </w:r>
      <w:r w:rsidR="0093692F">
        <w:rPr>
          <w:rFonts w:ascii="Arial" w:hAnsi="Arial" w:cs="Arial"/>
          <w:sz w:val="22"/>
          <w:szCs w:val="22"/>
        </w:rPr>
        <w:t>are</w:t>
      </w:r>
      <w:r w:rsidRPr="002B56B4">
        <w:rPr>
          <w:rFonts w:ascii="Arial" w:hAnsi="Arial" w:cs="Arial"/>
          <w:sz w:val="22"/>
          <w:szCs w:val="22"/>
        </w:rPr>
        <w:t xml:space="preserve"> reviewed to assess whether they are appropriate to attract user fees and charges. Attributes of a service that can affect the ability for a council to place a fee or charge include whether the operation is a public or private good in nature and if there is any state &amp; federal government legislation or funding conditions prohibiting or setting ceilings for pricing. Examples of such charges are found below: </w:t>
      </w:r>
    </w:p>
    <w:p w:rsidR="0093692F" w:rsidRDefault="0093692F"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813303" w:rsidRDefault="00813303" w:rsidP="007345A8">
      <w:pPr>
        <w:pStyle w:val="Heading3"/>
        <w:spacing w:before="0" w:after="120" w:line="240" w:lineRule="auto"/>
        <w:rPr>
          <w:rFonts w:ascii="Arial" w:hAnsi="Arial" w:cs="Arial"/>
          <w:color w:val="4F6228" w:themeColor="accent3" w:themeShade="80"/>
        </w:rPr>
      </w:pPr>
    </w:p>
    <w:p w:rsidR="00813303" w:rsidRDefault="00813303" w:rsidP="007345A8">
      <w:pPr>
        <w:pStyle w:val="Heading3"/>
        <w:spacing w:before="0" w:after="120" w:line="240" w:lineRule="auto"/>
        <w:rPr>
          <w:rFonts w:ascii="Arial" w:hAnsi="Arial" w:cs="Arial"/>
          <w:color w:val="4F6228" w:themeColor="accent3" w:themeShade="80"/>
        </w:rPr>
      </w:pPr>
    </w:p>
    <w:p w:rsidR="00813303" w:rsidRDefault="00813303"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93692F" w:rsidRDefault="0093692F" w:rsidP="007345A8">
      <w:pPr>
        <w:pStyle w:val="Heading3"/>
        <w:spacing w:before="0" w:after="120" w:line="240" w:lineRule="auto"/>
        <w:rPr>
          <w:rFonts w:ascii="Arial" w:hAnsi="Arial" w:cs="Arial"/>
          <w:color w:val="4F6228" w:themeColor="accent3" w:themeShade="80"/>
        </w:rPr>
      </w:pPr>
    </w:p>
    <w:p w:rsidR="00D21471" w:rsidRDefault="00D21471" w:rsidP="007345A8">
      <w:pPr>
        <w:pStyle w:val="Heading3"/>
        <w:spacing w:before="0" w:after="120" w:line="240" w:lineRule="auto"/>
        <w:rPr>
          <w:rFonts w:ascii="Arial" w:hAnsi="Arial" w:cs="Arial"/>
          <w:color w:val="4F6228" w:themeColor="accent3" w:themeShade="80"/>
        </w:rPr>
      </w:pPr>
    </w:p>
    <w:p w:rsidR="000E0A51" w:rsidRPr="002B56B4" w:rsidRDefault="002B56B4" w:rsidP="007345A8">
      <w:pPr>
        <w:pStyle w:val="Heading3"/>
        <w:spacing w:before="0" w:after="120" w:line="240" w:lineRule="auto"/>
        <w:rPr>
          <w:rFonts w:ascii="Arial" w:hAnsi="Arial" w:cs="Arial"/>
          <w:color w:val="4F6228" w:themeColor="accent3" w:themeShade="80"/>
        </w:rPr>
      </w:pPr>
      <w:r>
        <w:rPr>
          <w:rFonts w:ascii="Arial" w:hAnsi="Arial" w:cs="Arial"/>
          <w:color w:val="4F6228" w:themeColor="accent3" w:themeShade="80"/>
        </w:rPr>
        <w:t>Examples</w:t>
      </w:r>
      <w:r w:rsidR="000E0A51" w:rsidRPr="002B56B4">
        <w:rPr>
          <w:rFonts w:ascii="Arial" w:hAnsi="Arial" w:cs="Arial"/>
          <w:color w:val="4F6228" w:themeColor="accent3" w:themeShade="80"/>
        </w:rPr>
        <w:t xml:space="preserve"> of council fees and charges</w:t>
      </w:r>
    </w:p>
    <w:p w:rsidR="002B56B4" w:rsidRPr="002B56B4" w:rsidRDefault="00412608" w:rsidP="007345A8">
      <w:pPr>
        <w:pStyle w:val="Heading3"/>
        <w:spacing w:before="0" w:after="120" w:line="240" w:lineRule="auto"/>
        <w:rPr>
          <w:rStyle w:val="WordImportedListStyle13StylesforWordRTFImportedLists"/>
          <w:rFonts w:ascii="Arial" w:hAnsi="Arial" w:cs="Arial"/>
        </w:rPr>
      </w:pPr>
      <w:r w:rsidRPr="00412608">
        <w:rPr>
          <w:rStyle w:val="WordImportedListStyle13StylesforWordRTFImportedLists"/>
          <w:noProof/>
          <w:lang w:val="en-AU" w:eastAsia="en-AU"/>
        </w:rPr>
        <w:drawing>
          <wp:inline distT="0" distB="0" distL="0" distR="0">
            <wp:extent cx="5800725" cy="39474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593" cy="3951405"/>
                    </a:xfrm>
                    <a:prstGeom prst="rect">
                      <a:avLst/>
                    </a:prstGeom>
                    <a:noFill/>
                    <a:ln>
                      <a:noFill/>
                    </a:ln>
                  </pic:spPr>
                </pic:pic>
              </a:graphicData>
            </a:graphic>
          </wp:inline>
        </w:drawing>
      </w:r>
    </w:p>
    <w:p w:rsidR="0093692F" w:rsidRDefault="0093692F" w:rsidP="007345A8">
      <w:pPr>
        <w:pStyle w:val="Heading2"/>
        <w:spacing w:before="0" w:after="120" w:line="240" w:lineRule="auto"/>
        <w:ind w:left="0" w:firstLine="0"/>
        <w:rPr>
          <w:rStyle w:val="WordImportedListStyle13StylesforWordRTFImportedLists"/>
          <w:rFonts w:ascii="Arial" w:hAnsi="Arial" w:cs="Arial"/>
          <w:color w:val="4F6228" w:themeColor="accent3" w:themeShade="80"/>
          <w:spacing w:val="-3"/>
          <w:sz w:val="22"/>
          <w:szCs w:val="22"/>
        </w:rPr>
      </w:pPr>
    </w:p>
    <w:p w:rsidR="000E0A51" w:rsidRPr="002B56B4" w:rsidRDefault="000E0A51" w:rsidP="007345A8">
      <w:pPr>
        <w:pStyle w:val="Heading2"/>
        <w:spacing w:before="0" w:after="120" w:line="240" w:lineRule="auto"/>
        <w:ind w:left="0" w:firstLine="0"/>
        <w:rPr>
          <w:rStyle w:val="WordImportedListStyle13StylesforWordRTFImportedLists"/>
          <w:rFonts w:ascii="Arial" w:hAnsi="Arial" w:cs="Arial"/>
          <w:color w:val="4F6228" w:themeColor="accent3" w:themeShade="80"/>
          <w:spacing w:val="-3"/>
          <w:sz w:val="22"/>
          <w:szCs w:val="22"/>
        </w:rPr>
      </w:pPr>
      <w:r w:rsidRPr="002B56B4">
        <w:rPr>
          <w:rStyle w:val="WordImportedListStyle13StylesforWordRTFImportedLists"/>
          <w:rFonts w:ascii="Arial" w:hAnsi="Arial" w:cs="Arial"/>
          <w:color w:val="4F6228" w:themeColor="accent3" w:themeShade="80"/>
          <w:spacing w:val="-3"/>
          <w:sz w:val="22"/>
          <w:szCs w:val="22"/>
        </w:rPr>
        <w:t>Full cost</w:t>
      </w:r>
    </w:p>
    <w:p w:rsidR="000E0A51" w:rsidRPr="002B56B4" w:rsidRDefault="000E0A51" w:rsidP="007345A8">
      <w:pPr>
        <w:pStyle w:val="Body"/>
        <w:spacing w:after="120" w:line="240" w:lineRule="auto"/>
        <w:rPr>
          <w:rFonts w:ascii="Arial" w:hAnsi="Arial" w:cs="Arial"/>
          <w:sz w:val="22"/>
          <w:szCs w:val="22"/>
        </w:rPr>
      </w:pPr>
      <w:r w:rsidRPr="002B56B4">
        <w:rPr>
          <w:rFonts w:ascii="Arial" w:hAnsi="Arial" w:cs="Arial"/>
          <w:sz w:val="22"/>
          <w:szCs w:val="22"/>
        </w:rPr>
        <w:t>The full cost of delivering a service or providing a facility include both:</w:t>
      </w:r>
    </w:p>
    <w:p w:rsidR="000E0A51" w:rsidRPr="002B56B4" w:rsidRDefault="000E0A51" w:rsidP="007345A8">
      <w:pPr>
        <w:pStyle w:val="BulletL1Last"/>
        <w:numPr>
          <w:ilvl w:val="0"/>
          <w:numId w:val="7"/>
        </w:numPr>
        <w:spacing w:after="120" w:line="240" w:lineRule="auto"/>
        <w:rPr>
          <w:rFonts w:ascii="Arial" w:hAnsi="Arial" w:cs="Arial"/>
          <w:sz w:val="22"/>
          <w:szCs w:val="22"/>
        </w:rPr>
      </w:pPr>
      <w:r w:rsidRPr="002B56B4">
        <w:rPr>
          <w:rFonts w:ascii="Arial" w:hAnsi="Arial" w:cs="Arial"/>
          <w:color w:val="4F6228" w:themeColor="accent3" w:themeShade="80"/>
          <w:sz w:val="22"/>
          <w:szCs w:val="22"/>
        </w:rPr>
        <w:t xml:space="preserve">direct costs – </w:t>
      </w:r>
      <w:r w:rsidRPr="002B56B4">
        <w:rPr>
          <w:rFonts w:ascii="Arial" w:hAnsi="Arial" w:cs="Arial"/>
          <w:sz w:val="22"/>
          <w:szCs w:val="22"/>
        </w:rPr>
        <w:t>those costs that can be readily and unequivocally attributed to a service or activity because they are incurred exclusively for that particular product/activity</w:t>
      </w:r>
    </w:p>
    <w:p w:rsidR="000E0A51" w:rsidRPr="002B56B4" w:rsidRDefault="000E0A51" w:rsidP="007345A8">
      <w:pPr>
        <w:pStyle w:val="BulletL1Last"/>
        <w:numPr>
          <w:ilvl w:val="0"/>
          <w:numId w:val="7"/>
        </w:numPr>
        <w:spacing w:after="120" w:line="240" w:lineRule="auto"/>
        <w:rPr>
          <w:rFonts w:ascii="Arial" w:hAnsi="Arial" w:cs="Arial"/>
          <w:sz w:val="22"/>
          <w:szCs w:val="22"/>
        </w:rPr>
      </w:pPr>
      <w:proofErr w:type="gramStart"/>
      <w:r w:rsidRPr="002B56B4">
        <w:rPr>
          <w:rFonts w:ascii="Arial" w:hAnsi="Arial" w:cs="Arial"/>
          <w:color w:val="4F6228" w:themeColor="accent3" w:themeShade="80"/>
          <w:sz w:val="22"/>
          <w:szCs w:val="22"/>
        </w:rPr>
        <w:t>indirect</w:t>
      </w:r>
      <w:proofErr w:type="gramEnd"/>
      <w:r w:rsidRPr="002B56B4">
        <w:rPr>
          <w:rFonts w:ascii="Arial" w:hAnsi="Arial" w:cs="Arial"/>
          <w:color w:val="4F6228" w:themeColor="accent3" w:themeShade="80"/>
          <w:sz w:val="22"/>
          <w:szCs w:val="22"/>
        </w:rPr>
        <w:t xml:space="preserve"> Costs (often referred to as overheads) – </w:t>
      </w:r>
      <w:r w:rsidRPr="002B56B4">
        <w:rPr>
          <w:rFonts w:ascii="Arial" w:hAnsi="Arial" w:cs="Arial"/>
          <w:sz w:val="22"/>
          <w:szCs w:val="22"/>
        </w:rPr>
        <w:t xml:space="preserve">those costs that are not directly attributable to an activity, but support a range of activities across the council. </w:t>
      </w:r>
    </w:p>
    <w:p w:rsidR="000E0A51" w:rsidRPr="002B56B4" w:rsidRDefault="000E0A51" w:rsidP="007345A8">
      <w:pPr>
        <w:pStyle w:val="Body"/>
        <w:spacing w:after="120" w:line="240" w:lineRule="auto"/>
        <w:rPr>
          <w:rFonts w:ascii="Arial" w:hAnsi="Arial" w:cs="Arial"/>
          <w:i/>
          <w:iCs/>
          <w:color w:val="4F6228" w:themeColor="accent3" w:themeShade="80"/>
          <w:sz w:val="22"/>
          <w:szCs w:val="22"/>
        </w:rPr>
      </w:pPr>
      <w:r w:rsidRPr="002B56B4">
        <w:rPr>
          <w:rFonts w:ascii="Arial" w:hAnsi="Arial" w:cs="Arial"/>
          <w:i/>
          <w:iCs/>
          <w:color w:val="4F6228" w:themeColor="accent3" w:themeShade="80"/>
          <w:sz w:val="22"/>
          <w:szCs w:val="22"/>
        </w:rPr>
        <w:t>Direct Costs</w:t>
      </w:r>
    </w:p>
    <w:p w:rsidR="000E0A51" w:rsidRPr="002B56B4" w:rsidRDefault="005A2CD4" w:rsidP="007345A8">
      <w:pPr>
        <w:pStyle w:val="Body"/>
        <w:spacing w:after="120" w:line="240" w:lineRule="auto"/>
        <w:rPr>
          <w:rFonts w:ascii="Arial" w:hAnsi="Arial" w:cs="Arial"/>
          <w:sz w:val="22"/>
          <w:szCs w:val="22"/>
        </w:rPr>
      </w:pPr>
      <w:r w:rsidRPr="002B56B4">
        <w:rPr>
          <w:rFonts w:ascii="Arial" w:hAnsi="Arial" w:cs="Arial"/>
          <w:sz w:val="22"/>
          <w:szCs w:val="22"/>
        </w:rPr>
        <w:t>Council has</w:t>
      </w:r>
      <w:r w:rsidR="000E0A51" w:rsidRPr="002B56B4">
        <w:rPr>
          <w:rFonts w:ascii="Arial" w:hAnsi="Arial" w:cs="Arial"/>
          <w:sz w:val="22"/>
          <w:szCs w:val="22"/>
        </w:rPr>
        <w:t xml:space="preserve"> systems for calculating the direct costs of providing services.  These include:</w:t>
      </w:r>
    </w:p>
    <w:p w:rsidR="000E0A51" w:rsidRPr="002B56B4" w:rsidRDefault="000E0A51" w:rsidP="007345A8">
      <w:pPr>
        <w:pStyle w:val="BulletL1Last"/>
        <w:numPr>
          <w:ilvl w:val="0"/>
          <w:numId w:val="8"/>
        </w:numPr>
        <w:spacing w:after="120" w:line="240" w:lineRule="auto"/>
        <w:rPr>
          <w:rFonts w:ascii="Arial" w:hAnsi="Arial" w:cs="Arial"/>
          <w:sz w:val="22"/>
          <w:szCs w:val="22"/>
        </w:rPr>
      </w:pPr>
      <w:proofErr w:type="gramStart"/>
      <w:r w:rsidRPr="002B56B4">
        <w:rPr>
          <w:rFonts w:ascii="Arial" w:hAnsi="Arial" w:cs="Arial"/>
          <w:sz w:val="22"/>
          <w:szCs w:val="22"/>
        </w:rPr>
        <w:t>labour</w:t>
      </w:r>
      <w:proofErr w:type="gramEnd"/>
      <w:r w:rsidRPr="002B56B4">
        <w:rPr>
          <w:rFonts w:ascii="Arial" w:hAnsi="Arial" w:cs="Arial"/>
          <w:sz w:val="22"/>
          <w:szCs w:val="22"/>
        </w:rPr>
        <w:t xml:space="preserve"> – the wages and salaries of al</w:t>
      </w:r>
      <w:r w:rsidR="009276D6">
        <w:rPr>
          <w:rFonts w:ascii="Arial" w:hAnsi="Arial" w:cs="Arial"/>
          <w:sz w:val="22"/>
          <w:szCs w:val="22"/>
        </w:rPr>
        <w:t>l staff directly working on the</w:t>
      </w:r>
      <w:r w:rsidRPr="002B56B4">
        <w:rPr>
          <w:rFonts w:ascii="Arial" w:hAnsi="Arial" w:cs="Arial"/>
          <w:sz w:val="22"/>
          <w:szCs w:val="22"/>
        </w:rPr>
        <w:t xml:space="preserve"> service.  </w:t>
      </w:r>
    </w:p>
    <w:p w:rsidR="000E0A51" w:rsidRPr="002B56B4" w:rsidRDefault="000E0A51" w:rsidP="007345A8">
      <w:pPr>
        <w:pStyle w:val="BulletL1Last"/>
        <w:numPr>
          <w:ilvl w:val="0"/>
          <w:numId w:val="8"/>
        </w:numPr>
        <w:spacing w:after="120" w:line="240" w:lineRule="auto"/>
        <w:rPr>
          <w:rFonts w:ascii="Arial" w:hAnsi="Arial" w:cs="Arial"/>
          <w:sz w:val="22"/>
          <w:szCs w:val="22"/>
        </w:rPr>
      </w:pPr>
      <w:proofErr w:type="gramStart"/>
      <w:r w:rsidRPr="002B56B4">
        <w:rPr>
          <w:rFonts w:ascii="Arial" w:hAnsi="Arial" w:cs="Arial"/>
          <w:sz w:val="22"/>
          <w:szCs w:val="22"/>
        </w:rPr>
        <w:t>materials</w:t>
      </w:r>
      <w:proofErr w:type="gramEnd"/>
      <w:r w:rsidRPr="002B56B4">
        <w:rPr>
          <w:rFonts w:ascii="Arial" w:hAnsi="Arial" w:cs="Arial"/>
          <w:sz w:val="22"/>
          <w:szCs w:val="22"/>
        </w:rPr>
        <w:t xml:space="preserve"> and supplies – supplies used in providing the service.  </w:t>
      </w:r>
    </w:p>
    <w:p w:rsidR="0093692F" w:rsidRPr="009276D6" w:rsidRDefault="000E0A51" w:rsidP="007345A8">
      <w:pPr>
        <w:pStyle w:val="BulletL1Last"/>
        <w:numPr>
          <w:ilvl w:val="0"/>
          <w:numId w:val="8"/>
        </w:numPr>
        <w:spacing w:after="120" w:line="240" w:lineRule="auto"/>
        <w:rPr>
          <w:rFonts w:ascii="Arial" w:hAnsi="Arial" w:cs="Arial"/>
          <w:sz w:val="22"/>
          <w:szCs w:val="22"/>
        </w:rPr>
      </w:pPr>
      <w:proofErr w:type="gramStart"/>
      <w:r w:rsidRPr="002B56B4">
        <w:rPr>
          <w:rFonts w:ascii="Arial" w:hAnsi="Arial" w:cs="Arial"/>
          <w:sz w:val="22"/>
          <w:szCs w:val="22"/>
        </w:rPr>
        <w:t>capital</w:t>
      </w:r>
      <w:proofErr w:type="gramEnd"/>
      <w:r w:rsidRPr="002B56B4">
        <w:rPr>
          <w:rFonts w:ascii="Arial" w:hAnsi="Arial" w:cs="Arial"/>
          <w:sz w:val="22"/>
          <w:szCs w:val="22"/>
        </w:rPr>
        <w:t xml:space="preserve"> equipment and assets used in providing the service – this may include plant hire or, where a council owns the equipment and assets, allowance for asset replacement and depreciation.</w:t>
      </w:r>
    </w:p>
    <w:p w:rsidR="000E0A51" w:rsidRPr="002B56B4" w:rsidRDefault="000E0A51" w:rsidP="007345A8">
      <w:pPr>
        <w:pStyle w:val="Body"/>
        <w:spacing w:after="120" w:line="240" w:lineRule="auto"/>
        <w:rPr>
          <w:rFonts w:ascii="Arial" w:hAnsi="Arial" w:cs="Arial"/>
          <w:i/>
          <w:iCs/>
          <w:color w:val="4F6228" w:themeColor="accent3" w:themeShade="80"/>
          <w:sz w:val="22"/>
          <w:szCs w:val="22"/>
        </w:rPr>
      </w:pPr>
      <w:r w:rsidRPr="002B56B4">
        <w:rPr>
          <w:rFonts w:ascii="Arial" w:hAnsi="Arial" w:cs="Arial"/>
          <w:i/>
          <w:iCs/>
          <w:color w:val="4F6228" w:themeColor="accent3" w:themeShade="80"/>
          <w:sz w:val="22"/>
          <w:szCs w:val="22"/>
        </w:rPr>
        <w:t>Indirect Costs</w:t>
      </w:r>
    </w:p>
    <w:p w:rsidR="000E0A51" w:rsidRPr="002B56B4" w:rsidRDefault="000E0A51" w:rsidP="007345A8">
      <w:pPr>
        <w:pStyle w:val="Body"/>
        <w:spacing w:after="120" w:line="240" w:lineRule="auto"/>
        <w:rPr>
          <w:rFonts w:ascii="Arial" w:hAnsi="Arial" w:cs="Arial"/>
          <w:sz w:val="22"/>
          <w:szCs w:val="22"/>
        </w:rPr>
      </w:pPr>
      <w:r w:rsidRPr="002B56B4">
        <w:rPr>
          <w:rFonts w:ascii="Arial" w:hAnsi="Arial" w:cs="Arial"/>
          <w:sz w:val="22"/>
          <w:szCs w:val="22"/>
        </w:rPr>
        <w:t xml:space="preserve">Every council has a </w:t>
      </w:r>
      <w:r w:rsidR="00D21471">
        <w:rPr>
          <w:rFonts w:ascii="Arial" w:hAnsi="Arial" w:cs="Arial"/>
          <w:sz w:val="22"/>
          <w:szCs w:val="22"/>
        </w:rPr>
        <w:t xml:space="preserve">range of </w:t>
      </w:r>
      <w:r w:rsidRPr="002B56B4">
        <w:rPr>
          <w:rFonts w:ascii="Arial" w:hAnsi="Arial" w:cs="Arial"/>
          <w:sz w:val="22"/>
          <w:szCs w:val="22"/>
        </w:rPr>
        <w:t>back office operations that are not directly tied to any service delivery.  Nonetheless, these involve real costs that are incurred in supporting the delivery of direct services.  Two widely used methods to allocate indirect costs are:</w:t>
      </w:r>
    </w:p>
    <w:p w:rsidR="000E0A51" w:rsidRPr="002B56B4" w:rsidRDefault="000E0A51" w:rsidP="007345A8">
      <w:pPr>
        <w:pStyle w:val="BulletL1Last"/>
        <w:numPr>
          <w:ilvl w:val="0"/>
          <w:numId w:val="9"/>
        </w:numPr>
        <w:spacing w:after="120" w:line="240" w:lineRule="auto"/>
        <w:rPr>
          <w:rFonts w:ascii="Arial" w:hAnsi="Arial" w:cs="Arial"/>
          <w:sz w:val="22"/>
          <w:szCs w:val="22"/>
        </w:rPr>
      </w:pPr>
      <w:r w:rsidRPr="002B56B4">
        <w:rPr>
          <w:rFonts w:ascii="Arial" w:hAnsi="Arial" w:cs="Arial"/>
          <w:sz w:val="22"/>
          <w:szCs w:val="22"/>
        </w:rPr>
        <w:t>activity-based costing – links an organisation’s outputs or goods and services to the activities used to produce them, and then assigns a cost to each output based on the rate of consumption of associated activities</w:t>
      </w:r>
    </w:p>
    <w:p w:rsidR="005A2CD4" w:rsidRPr="002B56B4" w:rsidRDefault="000E0A51" w:rsidP="007345A8">
      <w:pPr>
        <w:pStyle w:val="BulletL1Last"/>
        <w:numPr>
          <w:ilvl w:val="0"/>
          <w:numId w:val="9"/>
        </w:numPr>
        <w:spacing w:after="120" w:line="240" w:lineRule="auto"/>
        <w:rPr>
          <w:rFonts w:ascii="Arial" w:hAnsi="Arial" w:cs="Arial"/>
          <w:sz w:val="22"/>
          <w:szCs w:val="22"/>
        </w:rPr>
      </w:pPr>
      <w:proofErr w:type="gramStart"/>
      <w:r w:rsidRPr="002B56B4">
        <w:rPr>
          <w:rFonts w:ascii="Arial" w:hAnsi="Arial" w:cs="Arial"/>
          <w:sz w:val="22"/>
          <w:szCs w:val="22"/>
        </w:rPr>
        <w:t>the</w:t>
      </w:r>
      <w:proofErr w:type="gramEnd"/>
      <w:r w:rsidRPr="002B56B4">
        <w:rPr>
          <w:rFonts w:ascii="Arial" w:hAnsi="Arial" w:cs="Arial"/>
          <w:sz w:val="22"/>
          <w:szCs w:val="22"/>
        </w:rPr>
        <w:t xml:space="preserve"> pro-rata approach – allocates indirect costs on a proportionate basis by using measures that are easily available, such as staff involved in the activity as a percentage of total staff, or the service unit’s share of total office space. </w:t>
      </w:r>
    </w:p>
    <w:p w:rsidR="009A3542" w:rsidRDefault="009A3542" w:rsidP="007345A8">
      <w:pPr>
        <w:pStyle w:val="Body0"/>
        <w:spacing w:after="120" w:line="240" w:lineRule="auto"/>
        <w:rPr>
          <w:rFonts w:ascii="Arial" w:hAnsi="Arial" w:cs="Arial"/>
          <w:sz w:val="22"/>
          <w:szCs w:val="22"/>
          <w:highlight w:val="yellow"/>
        </w:rPr>
      </w:pPr>
    </w:p>
    <w:p w:rsidR="00813303" w:rsidRDefault="00813303" w:rsidP="007345A8">
      <w:pPr>
        <w:pStyle w:val="Body0"/>
        <w:spacing w:after="120" w:line="240" w:lineRule="auto"/>
        <w:rPr>
          <w:rFonts w:ascii="Arial" w:hAnsi="Arial" w:cs="Arial"/>
          <w:sz w:val="22"/>
          <w:szCs w:val="22"/>
          <w:highlight w:val="yellow"/>
        </w:rPr>
      </w:pPr>
    </w:p>
    <w:p w:rsidR="00813303" w:rsidRDefault="00813303" w:rsidP="007345A8">
      <w:pPr>
        <w:pStyle w:val="Body0"/>
        <w:spacing w:after="120" w:line="240" w:lineRule="auto"/>
        <w:rPr>
          <w:rFonts w:ascii="Arial" w:hAnsi="Arial" w:cs="Arial"/>
          <w:sz w:val="22"/>
          <w:szCs w:val="22"/>
          <w:highlight w:val="yellow"/>
        </w:rPr>
      </w:pPr>
    </w:p>
    <w:p w:rsidR="00813303" w:rsidRPr="002B56B4" w:rsidRDefault="00813303" w:rsidP="007345A8">
      <w:pPr>
        <w:pStyle w:val="Body0"/>
        <w:spacing w:after="120" w:line="240" w:lineRule="auto"/>
        <w:rPr>
          <w:rFonts w:ascii="Arial" w:hAnsi="Arial" w:cs="Arial"/>
          <w:sz w:val="22"/>
          <w:szCs w:val="22"/>
          <w:highlight w:val="yellow"/>
        </w:rPr>
      </w:pPr>
    </w:p>
    <w:p w:rsidR="002B56B4" w:rsidRPr="002B56B4" w:rsidRDefault="002B56B4" w:rsidP="007345A8">
      <w:pPr>
        <w:pStyle w:val="Body0"/>
        <w:numPr>
          <w:ilvl w:val="1"/>
          <w:numId w:val="21"/>
        </w:numPr>
        <w:spacing w:after="120" w:line="240" w:lineRule="auto"/>
        <w:rPr>
          <w:rFonts w:ascii="Arial" w:hAnsi="Arial" w:cs="Arial"/>
          <w:b/>
          <w:color w:val="4F6228" w:themeColor="accent3" w:themeShade="80"/>
          <w:sz w:val="22"/>
          <w:szCs w:val="22"/>
        </w:rPr>
      </w:pPr>
      <w:r w:rsidRPr="002B56B4">
        <w:rPr>
          <w:rFonts w:ascii="Arial" w:hAnsi="Arial" w:cs="Arial"/>
          <w:b/>
          <w:color w:val="4F6228" w:themeColor="accent3" w:themeShade="80"/>
          <w:sz w:val="22"/>
          <w:szCs w:val="22"/>
        </w:rPr>
        <w:t>Pricing Policy</w:t>
      </w:r>
    </w:p>
    <w:p w:rsidR="003517D4" w:rsidRPr="002B56B4" w:rsidRDefault="003517D4" w:rsidP="007345A8">
      <w:pPr>
        <w:pStyle w:val="Body"/>
        <w:spacing w:after="120" w:line="240" w:lineRule="auto"/>
        <w:rPr>
          <w:rFonts w:ascii="Arial" w:hAnsi="Arial" w:cs="Arial"/>
          <w:sz w:val="22"/>
          <w:szCs w:val="22"/>
        </w:rPr>
      </w:pPr>
      <w:r w:rsidRPr="002B56B4">
        <w:rPr>
          <w:rFonts w:ascii="Arial" w:hAnsi="Arial" w:cs="Arial"/>
          <w:sz w:val="22"/>
          <w:szCs w:val="22"/>
        </w:rPr>
        <w:t xml:space="preserve">After a council has calculated the full costs of a service, another series of questions require answers before prices are decided.  </w:t>
      </w:r>
      <w:r w:rsidR="00D21471">
        <w:rPr>
          <w:rFonts w:ascii="Arial" w:hAnsi="Arial" w:cs="Arial"/>
          <w:sz w:val="22"/>
          <w:szCs w:val="22"/>
        </w:rPr>
        <w:t>T</w:t>
      </w:r>
      <w:r w:rsidRPr="002B56B4">
        <w:rPr>
          <w:rFonts w:ascii="Arial" w:hAnsi="Arial" w:cs="Arial"/>
          <w:sz w:val="22"/>
          <w:szCs w:val="22"/>
        </w:rPr>
        <w:t>hese include:</w:t>
      </w:r>
    </w:p>
    <w:p w:rsidR="003517D4" w:rsidRPr="002B56B4" w:rsidRDefault="003517D4" w:rsidP="007345A8">
      <w:pPr>
        <w:pStyle w:val="BulletL1"/>
        <w:numPr>
          <w:ilvl w:val="0"/>
          <w:numId w:val="13"/>
        </w:numPr>
        <w:spacing w:after="120" w:line="240" w:lineRule="auto"/>
        <w:rPr>
          <w:rFonts w:ascii="Arial" w:hAnsi="Arial" w:cs="Arial"/>
          <w:sz w:val="22"/>
          <w:szCs w:val="22"/>
        </w:rPr>
      </w:pPr>
      <w:r w:rsidRPr="002B56B4">
        <w:rPr>
          <w:rFonts w:ascii="Arial" w:hAnsi="Arial" w:cs="Arial"/>
          <w:sz w:val="22"/>
          <w:szCs w:val="22"/>
        </w:rPr>
        <w:t>Do any external constraints apply?  Possibilities include:</w:t>
      </w:r>
    </w:p>
    <w:p w:rsidR="003517D4" w:rsidRPr="002B56B4" w:rsidRDefault="003517D4" w:rsidP="007345A8">
      <w:pPr>
        <w:pStyle w:val="Body"/>
        <w:spacing w:after="120" w:line="240" w:lineRule="auto"/>
        <w:ind w:left="540" w:hanging="240"/>
        <w:rPr>
          <w:rFonts w:ascii="Arial" w:hAnsi="Arial" w:cs="Arial"/>
          <w:sz w:val="22"/>
          <w:szCs w:val="22"/>
        </w:rPr>
      </w:pPr>
      <w:r w:rsidRPr="002B56B4">
        <w:rPr>
          <w:rFonts w:ascii="Arial" w:hAnsi="Arial" w:cs="Arial"/>
          <w:sz w:val="22"/>
          <w:szCs w:val="22"/>
        </w:rPr>
        <w:t>-</w:t>
      </w:r>
      <w:r w:rsidRPr="002B56B4">
        <w:rPr>
          <w:rFonts w:ascii="Arial" w:hAnsi="Arial" w:cs="Arial"/>
          <w:sz w:val="22"/>
          <w:szCs w:val="22"/>
        </w:rPr>
        <w:tab/>
        <w:t>either the State or Commonwealth Government sets a statutory price for that service; and if the service has private sector competitors AND is a “significant business activity”, the council needs to check co</w:t>
      </w:r>
      <w:r w:rsidR="00412608">
        <w:rPr>
          <w:rFonts w:ascii="Arial" w:hAnsi="Arial" w:cs="Arial"/>
          <w:sz w:val="22"/>
          <w:szCs w:val="22"/>
        </w:rPr>
        <w:t>mpetitive neutrality conditions</w:t>
      </w:r>
      <w:r w:rsidRPr="002B56B4">
        <w:rPr>
          <w:rFonts w:ascii="Arial" w:hAnsi="Arial" w:cs="Arial"/>
          <w:sz w:val="22"/>
          <w:szCs w:val="22"/>
        </w:rPr>
        <w:t>.  How would the service users respond to any price changes?</w:t>
      </w:r>
    </w:p>
    <w:p w:rsidR="003517D4" w:rsidRPr="002B56B4" w:rsidRDefault="003517D4" w:rsidP="007345A8">
      <w:pPr>
        <w:pStyle w:val="BulletL1Last"/>
        <w:numPr>
          <w:ilvl w:val="0"/>
          <w:numId w:val="13"/>
        </w:numPr>
        <w:spacing w:after="120" w:line="240" w:lineRule="auto"/>
        <w:rPr>
          <w:rFonts w:ascii="Arial" w:hAnsi="Arial" w:cs="Arial"/>
          <w:sz w:val="22"/>
          <w:szCs w:val="22"/>
        </w:rPr>
      </w:pPr>
      <w:r w:rsidRPr="002B56B4">
        <w:rPr>
          <w:rFonts w:ascii="Arial" w:hAnsi="Arial" w:cs="Arial"/>
          <w:sz w:val="22"/>
          <w:szCs w:val="22"/>
        </w:rPr>
        <w:t>Is a price based on the full cost of the service competitive with other suppliers (nearby councils and/or private competitors)?</w:t>
      </w:r>
    </w:p>
    <w:p w:rsidR="003517D4" w:rsidRPr="002B56B4" w:rsidRDefault="003517D4" w:rsidP="007345A8">
      <w:pPr>
        <w:pStyle w:val="BulletL1"/>
        <w:numPr>
          <w:ilvl w:val="0"/>
          <w:numId w:val="13"/>
        </w:numPr>
        <w:spacing w:after="120" w:line="240" w:lineRule="auto"/>
        <w:rPr>
          <w:rFonts w:ascii="Arial" w:hAnsi="Arial" w:cs="Arial"/>
          <w:sz w:val="22"/>
          <w:szCs w:val="22"/>
        </w:rPr>
      </w:pPr>
      <w:r w:rsidRPr="002B56B4">
        <w:rPr>
          <w:rFonts w:ascii="Arial" w:hAnsi="Arial" w:cs="Arial"/>
          <w:sz w:val="22"/>
          <w:szCs w:val="22"/>
        </w:rPr>
        <w:t>Does the council have a specific policy either:</w:t>
      </w:r>
    </w:p>
    <w:p w:rsidR="003517D4" w:rsidRPr="002B56B4" w:rsidRDefault="003517D4" w:rsidP="007345A8">
      <w:pPr>
        <w:pStyle w:val="Body"/>
        <w:spacing w:after="120" w:line="240" w:lineRule="auto"/>
        <w:ind w:left="540" w:hanging="240"/>
        <w:rPr>
          <w:rFonts w:ascii="Arial" w:hAnsi="Arial" w:cs="Arial"/>
          <w:sz w:val="22"/>
          <w:szCs w:val="22"/>
        </w:rPr>
      </w:pPr>
      <w:r w:rsidRPr="002B56B4">
        <w:rPr>
          <w:rFonts w:ascii="Arial" w:hAnsi="Arial" w:cs="Arial"/>
          <w:sz w:val="22"/>
          <w:szCs w:val="22"/>
        </w:rPr>
        <w:t>-</w:t>
      </w:r>
      <w:r w:rsidRPr="002B56B4">
        <w:rPr>
          <w:rFonts w:ascii="Arial" w:hAnsi="Arial" w:cs="Arial"/>
          <w:sz w:val="22"/>
          <w:szCs w:val="22"/>
        </w:rPr>
        <w:tab/>
      </w:r>
      <w:proofErr w:type="gramStart"/>
      <w:r w:rsidRPr="002B56B4">
        <w:rPr>
          <w:rFonts w:ascii="Arial" w:hAnsi="Arial" w:cs="Arial"/>
          <w:sz w:val="22"/>
          <w:szCs w:val="22"/>
        </w:rPr>
        <w:t>to</w:t>
      </w:r>
      <w:proofErr w:type="gramEnd"/>
      <w:r w:rsidRPr="002B56B4">
        <w:rPr>
          <w:rFonts w:ascii="Arial" w:hAnsi="Arial" w:cs="Arial"/>
          <w:sz w:val="22"/>
          <w:szCs w:val="22"/>
        </w:rPr>
        <w:t xml:space="preserve"> subsidise this service (setting prices below full costs)? </w:t>
      </w:r>
    </w:p>
    <w:p w:rsidR="003517D4" w:rsidRPr="002B56B4" w:rsidRDefault="003517D4" w:rsidP="007345A8">
      <w:pPr>
        <w:pStyle w:val="Body"/>
        <w:spacing w:after="120" w:line="240" w:lineRule="auto"/>
        <w:ind w:left="540" w:hanging="240"/>
        <w:rPr>
          <w:rFonts w:ascii="Arial" w:hAnsi="Arial" w:cs="Arial"/>
          <w:sz w:val="22"/>
          <w:szCs w:val="22"/>
        </w:rPr>
      </w:pPr>
      <w:r w:rsidRPr="002B56B4">
        <w:rPr>
          <w:rFonts w:ascii="Arial" w:hAnsi="Arial" w:cs="Arial"/>
          <w:sz w:val="22"/>
          <w:szCs w:val="22"/>
        </w:rPr>
        <w:t>-</w:t>
      </w:r>
      <w:r w:rsidRPr="002B56B4">
        <w:rPr>
          <w:rFonts w:ascii="Arial" w:hAnsi="Arial" w:cs="Arial"/>
          <w:sz w:val="22"/>
          <w:szCs w:val="22"/>
        </w:rPr>
        <w:tab/>
      </w:r>
      <w:proofErr w:type="gramStart"/>
      <w:r w:rsidRPr="002B56B4">
        <w:rPr>
          <w:rFonts w:ascii="Arial" w:hAnsi="Arial" w:cs="Arial"/>
          <w:sz w:val="22"/>
          <w:szCs w:val="22"/>
        </w:rPr>
        <w:t>to</w:t>
      </w:r>
      <w:proofErr w:type="gramEnd"/>
      <w:r w:rsidRPr="002B56B4">
        <w:rPr>
          <w:rFonts w:ascii="Arial" w:hAnsi="Arial" w:cs="Arial"/>
          <w:sz w:val="22"/>
          <w:szCs w:val="22"/>
        </w:rPr>
        <w:t xml:space="preserve"> use the service as a taxation mechanism (setting prices above the full cost level)?</w:t>
      </w:r>
    </w:p>
    <w:p w:rsidR="003517D4" w:rsidRPr="002B56B4" w:rsidRDefault="003517D4" w:rsidP="007345A8">
      <w:pPr>
        <w:pStyle w:val="Body"/>
        <w:spacing w:after="120" w:line="240" w:lineRule="auto"/>
        <w:rPr>
          <w:rFonts w:ascii="Arial" w:hAnsi="Arial" w:cs="Arial"/>
          <w:sz w:val="22"/>
          <w:szCs w:val="22"/>
        </w:rPr>
      </w:pPr>
      <w:r w:rsidRPr="002B56B4">
        <w:rPr>
          <w:rFonts w:ascii="Arial" w:hAnsi="Arial" w:cs="Arial"/>
          <w:sz w:val="22"/>
          <w:szCs w:val="22"/>
        </w:rPr>
        <w:t>If a competitive neutrality assessment is required, the following steps are recommended by the Victorian Government’s National Competition Policy</w:t>
      </w:r>
      <w:r w:rsidR="009276D6">
        <w:rPr>
          <w:rFonts w:ascii="Arial" w:hAnsi="Arial" w:cs="Arial"/>
          <w:sz w:val="22"/>
          <w:szCs w:val="22"/>
        </w:rPr>
        <w:t xml:space="preserve"> (the Policy)</w:t>
      </w:r>
      <w:r w:rsidRPr="002B56B4">
        <w:rPr>
          <w:rFonts w:ascii="Arial" w:hAnsi="Arial" w:cs="Arial"/>
          <w:sz w:val="22"/>
          <w:szCs w:val="22"/>
        </w:rPr>
        <w:t xml:space="preserve"> and Local Government Statement: </w:t>
      </w:r>
    </w:p>
    <w:p w:rsidR="003517D4" w:rsidRPr="002B56B4" w:rsidRDefault="003517D4" w:rsidP="007345A8">
      <w:pPr>
        <w:pStyle w:val="BulletL1"/>
        <w:numPr>
          <w:ilvl w:val="0"/>
          <w:numId w:val="14"/>
        </w:numPr>
        <w:spacing w:after="120" w:line="240" w:lineRule="auto"/>
        <w:rPr>
          <w:rFonts w:ascii="Arial" w:hAnsi="Arial" w:cs="Arial"/>
          <w:sz w:val="22"/>
          <w:szCs w:val="22"/>
        </w:rPr>
      </w:pPr>
      <w:r w:rsidRPr="002B56B4">
        <w:rPr>
          <w:rFonts w:ascii="Arial" w:hAnsi="Arial" w:cs="Arial"/>
          <w:sz w:val="22"/>
          <w:szCs w:val="22"/>
        </w:rPr>
        <w:t>Determine whether the operation is a “significant business activity” and, therefore, subject to the policy</w:t>
      </w:r>
    </w:p>
    <w:p w:rsidR="003517D4" w:rsidRPr="002B56B4" w:rsidRDefault="003517D4" w:rsidP="007345A8">
      <w:pPr>
        <w:pStyle w:val="BulletL1"/>
        <w:numPr>
          <w:ilvl w:val="0"/>
          <w:numId w:val="14"/>
        </w:numPr>
        <w:spacing w:after="120" w:line="240" w:lineRule="auto"/>
        <w:rPr>
          <w:rFonts w:ascii="Arial" w:hAnsi="Arial" w:cs="Arial"/>
          <w:sz w:val="22"/>
          <w:szCs w:val="22"/>
        </w:rPr>
      </w:pPr>
      <w:r w:rsidRPr="002B56B4">
        <w:rPr>
          <w:rFonts w:ascii="Arial" w:hAnsi="Arial" w:cs="Arial"/>
          <w:sz w:val="22"/>
          <w:szCs w:val="22"/>
        </w:rPr>
        <w:t>Assess the full costs of providing the services, including all overheads</w:t>
      </w:r>
    </w:p>
    <w:p w:rsidR="0093692F" w:rsidRPr="00026083" w:rsidRDefault="003517D4" w:rsidP="007345A8">
      <w:pPr>
        <w:pStyle w:val="BulletL1"/>
        <w:numPr>
          <w:ilvl w:val="0"/>
          <w:numId w:val="14"/>
        </w:numPr>
        <w:spacing w:after="120" w:line="240" w:lineRule="auto"/>
        <w:rPr>
          <w:rFonts w:ascii="Arial" w:hAnsi="Arial" w:cs="Arial"/>
          <w:sz w:val="22"/>
          <w:szCs w:val="22"/>
        </w:rPr>
      </w:pPr>
      <w:r w:rsidRPr="002B56B4">
        <w:rPr>
          <w:rFonts w:ascii="Arial" w:hAnsi="Arial" w:cs="Arial"/>
          <w:sz w:val="22"/>
          <w:szCs w:val="22"/>
        </w:rPr>
        <w:t xml:space="preserve">Identify any aspect whereby the operation gains a net commercial benefit from being government owned.   </w:t>
      </w:r>
    </w:p>
    <w:p w:rsidR="003517D4" w:rsidRPr="002B56B4" w:rsidRDefault="003517D4" w:rsidP="007345A8">
      <w:pPr>
        <w:pStyle w:val="Body"/>
        <w:spacing w:after="120" w:line="240" w:lineRule="auto"/>
        <w:rPr>
          <w:rFonts w:ascii="Arial" w:hAnsi="Arial" w:cs="Arial"/>
          <w:sz w:val="22"/>
          <w:szCs w:val="22"/>
        </w:rPr>
      </w:pPr>
      <w:r w:rsidRPr="002B56B4">
        <w:rPr>
          <w:rFonts w:ascii="Arial" w:hAnsi="Arial" w:cs="Arial"/>
          <w:sz w:val="22"/>
          <w:szCs w:val="22"/>
        </w:rPr>
        <w:t>If this analysis shows that a significant business does enjoy a net competitive benefit, the council is expected to set prices that include competitive neutral adjustments.  However, under the policy this is not required if the council:</w:t>
      </w:r>
    </w:p>
    <w:p w:rsidR="003517D4" w:rsidRPr="002B56B4" w:rsidRDefault="003517D4" w:rsidP="007345A8">
      <w:pPr>
        <w:pStyle w:val="BulletL1"/>
        <w:numPr>
          <w:ilvl w:val="0"/>
          <w:numId w:val="15"/>
        </w:numPr>
        <w:spacing w:after="120" w:line="240" w:lineRule="auto"/>
        <w:rPr>
          <w:rFonts w:ascii="Arial" w:hAnsi="Arial" w:cs="Arial"/>
          <w:sz w:val="22"/>
          <w:szCs w:val="22"/>
        </w:rPr>
      </w:pPr>
      <w:r w:rsidRPr="002B56B4">
        <w:rPr>
          <w:rFonts w:ascii="Arial" w:hAnsi="Arial" w:cs="Arial"/>
          <w:sz w:val="22"/>
          <w:szCs w:val="22"/>
        </w:rPr>
        <w:t xml:space="preserve">decides that the costs of applying competitive neutrality outweigh the benefits </w:t>
      </w:r>
    </w:p>
    <w:p w:rsidR="00026083" w:rsidRPr="00D21471" w:rsidRDefault="009276D6" w:rsidP="007345A8">
      <w:pPr>
        <w:pStyle w:val="BulletL1Last"/>
        <w:numPr>
          <w:ilvl w:val="0"/>
          <w:numId w:val="15"/>
        </w:numPr>
        <w:spacing w:after="120" w:line="240" w:lineRule="auto"/>
        <w:rPr>
          <w:rFonts w:ascii="Arial" w:hAnsi="Arial" w:cs="Arial"/>
          <w:sz w:val="22"/>
          <w:szCs w:val="22"/>
        </w:rPr>
      </w:pPr>
      <w:proofErr w:type="gramStart"/>
      <w:r>
        <w:rPr>
          <w:rFonts w:ascii="Arial" w:hAnsi="Arial" w:cs="Arial"/>
          <w:sz w:val="22"/>
          <w:szCs w:val="22"/>
        </w:rPr>
        <w:t>conducts</w:t>
      </w:r>
      <w:proofErr w:type="gramEnd"/>
      <w:r>
        <w:rPr>
          <w:rFonts w:ascii="Arial" w:hAnsi="Arial" w:cs="Arial"/>
          <w:sz w:val="22"/>
          <w:szCs w:val="22"/>
        </w:rPr>
        <w:t xml:space="preserve"> and documents a public interest test</w:t>
      </w:r>
      <w:r w:rsidR="003517D4" w:rsidRPr="002B56B4">
        <w:rPr>
          <w:rFonts w:ascii="Arial" w:hAnsi="Arial" w:cs="Arial"/>
          <w:sz w:val="22"/>
          <w:szCs w:val="22"/>
        </w:rPr>
        <w:t xml:space="preserve">, which involves public consultation on costed options, and identifies clear public policy objectives for providing the service at below competitive neutral prices.  </w:t>
      </w:r>
    </w:p>
    <w:p w:rsidR="003517D4" w:rsidRPr="002B56B4" w:rsidRDefault="00412608" w:rsidP="007345A8">
      <w:pPr>
        <w:pStyle w:val="Body"/>
        <w:spacing w:after="120" w:line="240" w:lineRule="auto"/>
        <w:rPr>
          <w:rFonts w:ascii="Arial" w:hAnsi="Arial" w:cs="Arial"/>
          <w:sz w:val="22"/>
          <w:szCs w:val="22"/>
        </w:rPr>
      </w:pPr>
      <w:r>
        <w:rPr>
          <w:rFonts w:ascii="Arial" w:hAnsi="Arial" w:cs="Arial"/>
          <w:sz w:val="22"/>
          <w:szCs w:val="22"/>
        </w:rPr>
        <w:t>T</w:t>
      </w:r>
      <w:r w:rsidR="003517D4" w:rsidRPr="002B56B4">
        <w:rPr>
          <w:rFonts w:ascii="Arial" w:hAnsi="Arial" w:cs="Arial"/>
          <w:sz w:val="22"/>
          <w:szCs w:val="22"/>
        </w:rPr>
        <w:t>he policy aims to identify subsidies, make them transparent to the community, and explain why the council is providing cross-subsidisation.  Cross-subsidisation implies that one group may pay higher/lower prices than another group.  Cross-subsidisation exists in a number of forms:</w:t>
      </w:r>
    </w:p>
    <w:p w:rsidR="003517D4" w:rsidRPr="002B56B4" w:rsidRDefault="003517D4" w:rsidP="007345A8">
      <w:pPr>
        <w:pStyle w:val="BulletL1"/>
        <w:numPr>
          <w:ilvl w:val="0"/>
          <w:numId w:val="16"/>
        </w:numPr>
        <w:spacing w:after="120" w:line="240" w:lineRule="auto"/>
        <w:rPr>
          <w:rFonts w:ascii="Arial" w:hAnsi="Arial" w:cs="Arial"/>
          <w:sz w:val="22"/>
          <w:szCs w:val="22"/>
        </w:rPr>
      </w:pPr>
      <w:r w:rsidRPr="002B56B4">
        <w:rPr>
          <w:rFonts w:ascii="Arial" w:hAnsi="Arial" w:cs="Arial"/>
          <w:sz w:val="22"/>
          <w:szCs w:val="22"/>
        </w:rPr>
        <w:t>cross-subsidisation between the fees and charges paid by different users for a specific service – a cross subsidy between users</w:t>
      </w:r>
    </w:p>
    <w:p w:rsidR="003517D4" w:rsidRPr="002B56B4" w:rsidRDefault="003517D4" w:rsidP="007345A8">
      <w:pPr>
        <w:pStyle w:val="BulletL1"/>
        <w:numPr>
          <w:ilvl w:val="0"/>
          <w:numId w:val="16"/>
        </w:numPr>
        <w:spacing w:after="120" w:line="240" w:lineRule="auto"/>
        <w:rPr>
          <w:rFonts w:ascii="Arial" w:hAnsi="Arial" w:cs="Arial"/>
          <w:sz w:val="22"/>
          <w:szCs w:val="22"/>
        </w:rPr>
      </w:pPr>
      <w:r w:rsidRPr="002B56B4">
        <w:rPr>
          <w:rFonts w:ascii="Arial" w:hAnsi="Arial" w:cs="Arial"/>
          <w:sz w:val="22"/>
          <w:szCs w:val="22"/>
        </w:rPr>
        <w:t>cr</w:t>
      </w:r>
      <w:r w:rsidR="009276D6">
        <w:rPr>
          <w:rFonts w:ascii="Arial" w:hAnsi="Arial" w:cs="Arial"/>
          <w:sz w:val="22"/>
          <w:szCs w:val="22"/>
        </w:rPr>
        <w:t>oss-subsidisation between fees and</w:t>
      </w:r>
      <w:r w:rsidRPr="002B56B4">
        <w:rPr>
          <w:rFonts w:ascii="Arial" w:hAnsi="Arial" w:cs="Arial"/>
          <w:sz w:val="22"/>
          <w:szCs w:val="22"/>
        </w:rPr>
        <w:t xml:space="preserve"> charges and rates – a cross subsidy between users and ratepayers or from one service to another service</w:t>
      </w:r>
    </w:p>
    <w:p w:rsidR="003517D4" w:rsidRPr="002B56B4" w:rsidRDefault="003517D4" w:rsidP="007345A8">
      <w:pPr>
        <w:pStyle w:val="BulletL1Last"/>
        <w:numPr>
          <w:ilvl w:val="0"/>
          <w:numId w:val="16"/>
        </w:numPr>
        <w:spacing w:after="120" w:line="240" w:lineRule="auto"/>
        <w:rPr>
          <w:rFonts w:ascii="Arial" w:hAnsi="Arial" w:cs="Arial"/>
          <w:sz w:val="22"/>
          <w:szCs w:val="22"/>
        </w:rPr>
      </w:pPr>
      <w:proofErr w:type="gramStart"/>
      <w:r w:rsidRPr="002B56B4">
        <w:rPr>
          <w:rFonts w:ascii="Arial" w:hAnsi="Arial" w:cs="Arial"/>
          <w:sz w:val="22"/>
          <w:szCs w:val="22"/>
        </w:rPr>
        <w:t>cross-subsidisation</w:t>
      </w:r>
      <w:proofErr w:type="gramEnd"/>
      <w:r w:rsidRPr="002B56B4">
        <w:rPr>
          <w:rFonts w:ascii="Arial" w:hAnsi="Arial" w:cs="Arial"/>
          <w:sz w:val="22"/>
          <w:szCs w:val="22"/>
        </w:rPr>
        <w:t xml:space="preserve"> between the amounts of rates paid by various classes of ratepayers.</w:t>
      </w:r>
    </w:p>
    <w:p w:rsidR="00A21142" w:rsidRPr="002B56B4" w:rsidRDefault="003517D4" w:rsidP="007345A8">
      <w:pPr>
        <w:pStyle w:val="Body"/>
        <w:spacing w:after="120" w:line="240" w:lineRule="auto"/>
        <w:rPr>
          <w:rFonts w:ascii="Arial" w:hAnsi="Arial" w:cs="Arial"/>
          <w:sz w:val="22"/>
          <w:szCs w:val="22"/>
        </w:rPr>
      </w:pPr>
      <w:r w:rsidRPr="002B56B4">
        <w:rPr>
          <w:rFonts w:ascii="Arial" w:hAnsi="Arial" w:cs="Arial"/>
          <w:sz w:val="22"/>
          <w:szCs w:val="22"/>
        </w:rPr>
        <w:t>The final step in a pricing policy is identifying what council services or service areas are “public goods” and therefore most appropriate for funding via general rate revenue. This need not be an exacting exercise, and as often noted, few council services fall exclusively into the public or private goods category.  But it is important for a council to make recommendations that as far as possible allow judgements to be made and a rationale for pricing decisions to be expressed in the rating and revenue strategy.</w:t>
      </w:r>
    </w:p>
    <w:p w:rsidR="002B56B4" w:rsidRPr="002B56B4" w:rsidRDefault="00A21142" w:rsidP="007345A8">
      <w:pPr>
        <w:pStyle w:val="Body"/>
        <w:spacing w:after="120" w:line="240" w:lineRule="auto"/>
        <w:rPr>
          <w:rFonts w:ascii="Arial" w:hAnsi="Arial" w:cs="Arial"/>
          <w:sz w:val="22"/>
          <w:szCs w:val="22"/>
        </w:rPr>
      </w:pPr>
      <w:r w:rsidRPr="002B56B4">
        <w:rPr>
          <w:rFonts w:ascii="Arial" w:hAnsi="Arial" w:cs="Arial"/>
          <w:sz w:val="22"/>
          <w:szCs w:val="22"/>
        </w:rPr>
        <w:t>The final step in a pricing policy is identifying what council services or service areas are “public goods”</w:t>
      </w:r>
      <w:r w:rsidR="003517D4" w:rsidRPr="002B56B4">
        <w:rPr>
          <w:rFonts w:ascii="Arial" w:hAnsi="Arial" w:cs="Arial"/>
          <w:sz w:val="22"/>
          <w:szCs w:val="22"/>
        </w:rPr>
        <w:t xml:space="preserve"> </w:t>
      </w:r>
      <w:r w:rsidRPr="002B56B4">
        <w:rPr>
          <w:rFonts w:ascii="Arial" w:hAnsi="Arial" w:cs="Arial"/>
          <w:sz w:val="22"/>
          <w:szCs w:val="22"/>
        </w:rPr>
        <w:t>and therefore most appropriate for funding via general rate revenue.</w:t>
      </w:r>
    </w:p>
    <w:p w:rsidR="003517D4" w:rsidRDefault="003517D4" w:rsidP="007345A8">
      <w:pPr>
        <w:pStyle w:val="Body0"/>
        <w:spacing w:after="120" w:line="240" w:lineRule="auto"/>
        <w:rPr>
          <w:rFonts w:ascii="Arial" w:hAnsi="Arial" w:cs="Arial"/>
          <w:sz w:val="22"/>
          <w:szCs w:val="22"/>
        </w:rPr>
      </w:pPr>
    </w:p>
    <w:p w:rsidR="00813303" w:rsidRDefault="00813303" w:rsidP="007345A8">
      <w:pPr>
        <w:pStyle w:val="Body0"/>
        <w:spacing w:after="120" w:line="240" w:lineRule="auto"/>
        <w:rPr>
          <w:rFonts w:ascii="Arial" w:hAnsi="Arial" w:cs="Arial"/>
          <w:sz w:val="22"/>
          <w:szCs w:val="22"/>
        </w:rPr>
      </w:pPr>
    </w:p>
    <w:p w:rsidR="00813303" w:rsidRDefault="00813303" w:rsidP="007345A8">
      <w:pPr>
        <w:pStyle w:val="Body0"/>
        <w:spacing w:after="120" w:line="240" w:lineRule="auto"/>
        <w:rPr>
          <w:rFonts w:ascii="Arial" w:hAnsi="Arial" w:cs="Arial"/>
          <w:sz w:val="22"/>
          <w:szCs w:val="22"/>
        </w:rPr>
      </w:pPr>
    </w:p>
    <w:p w:rsidR="00813303" w:rsidRDefault="00813303" w:rsidP="007345A8">
      <w:pPr>
        <w:pStyle w:val="Body0"/>
        <w:spacing w:after="120" w:line="240" w:lineRule="auto"/>
        <w:rPr>
          <w:rFonts w:ascii="Arial" w:hAnsi="Arial" w:cs="Arial"/>
          <w:sz w:val="22"/>
          <w:szCs w:val="22"/>
        </w:rPr>
      </w:pPr>
    </w:p>
    <w:p w:rsidR="00813303" w:rsidRDefault="00813303" w:rsidP="007345A8">
      <w:pPr>
        <w:pStyle w:val="Body0"/>
        <w:spacing w:after="120" w:line="240" w:lineRule="auto"/>
        <w:rPr>
          <w:rFonts w:ascii="Arial" w:hAnsi="Arial" w:cs="Arial"/>
          <w:sz w:val="22"/>
          <w:szCs w:val="22"/>
        </w:rPr>
      </w:pPr>
    </w:p>
    <w:p w:rsidR="009276D6" w:rsidRDefault="009276D6" w:rsidP="007345A8">
      <w:pPr>
        <w:pStyle w:val="Body0"/>
        <w:spacing w:after="120" w:line="240" w:lineRule="auto"/>
        <w:rPr>
          <w:rFonts w:ascii="Arial" w:hAnsi="Arial" w:cs="Arial"/>
          <w:sz w:val="22"/>
          <w:szCs w:val="22"/>
        </w:rPr>
      </w:pPr>
    </w:p>
    <w:p w:rsidR="009A3542" w:rsidRPr="002B56B4" w:rsidRDefault="009A3542"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sidRPr="002B56B4">
        <w:rPr>
          <w:rFonts w:ascii="Arial" w:hAnsi="Arial" w:cs="Arial"/>
          <w:b/>
          <w:color w:val="4F6228" w:themeColor="accent3" w:themeShade="80"/>
          <w:spacing w:val="-3"/>
          <w:sz w:val="22"/>
          <w:szCs w:val="22"/>
        </w:rPr>
        <w:t>Government Grants</w:t>
      </w:r>
    </w:p>
    <w:p w:rsidR="009A3542" w:rsidRDefault="009A3542" w:rsidP="007345A8">
      <w:pPr>
        <w:pStyle w:val="Heading3"/>
        <w:spacing w:before="0" w:after="120" w:line="240" w:lineRule="auto"/>
        <w:rPr>
          <w:rFonts w:ascii="Arial" w:hAnsi="Arial" w:cs="Arial"/>
          <w:color w:val="auto"/>
        </w:rPr>
      </w:pPr>
      <w:r w:rsidRPr="002B56B4">
        <w:rPr>
          <w:rFonts w:ascii="Arial" w:hAnsi="Arial" w:cs="Arial"/>
          <w:color w:val="auto"/>
        </w:rPr>
        <w:t>Council pursues all avenues to obtain ex</w:t>
      </w:r>
      <w:r>
        <w:rPr>
          <w:rFonts w:ascii="Arial" w:hAnsi="Arial" w:cs="Arial"/>
          <w:color w:val="auto"/>
        </w:rPr>
        <w:t>ternal grant funds for prioritis</w:t>
      </w:r>
      <w:r w:rsidRPr="002B56B4">
        <w:rPr>
          <w:rFonts w:ascii="Arial" w:hAnsi="Arial" w:cs="Arial"/>
          <w:color w:val="auto"/>
        </w:rPr>
        <w:t xml:space="preserve">ed works. A large proportion </w:t>
      </w:r>
      <w:r w:rsidRPr="009A3542">
        <w:rPr>
          <w:rFonts w:ascii="Arial" w:hAnsi="Arial" w:cs="Arial"/>
          <w:color w:val="auto"/>
        </w:rPr>
        <w:t>(39%)</w:t>
      </w:r>
      <w:r w:rsidRPr="002B56B4">
        <w:rPr>
          <w:rFonts w:ascii="Arial" w:hAnsi="Arial" w:cs="Arial"/>
          <w:color w:val="auto"/>
        </w:rPr>
        <w:t xml:space="preserve"> of  government grants is made </w:t>
      </w:r>
      <w:r w:rsidR="009276D6">
        <w:rPr>
          <w:rFonts w:ascii="Arial" w:hAnsi="Arial" w:cs="Arial"/>
          <w:color w:val="auto"/>
        </w:rPr>
        <w:t>up of the Financial Assistance G</w:t>
      </w:r>
      <w:r w:rsidRPr="002B56B4">
        <w:rPr>
          <w:rFonts w:ascii="Arial" w:hAnsi="Arial" w:cs="Arial"/>
          <w:color w:val="auto"/>
        </w:rPr>
        <w:t>rant</w:t>
      </w:r>
      <w:r w:rsidR="009276D6">
        <w:rPr>
          <w:rFonts w:ascii="Arial" w:hAnsi="Arial" w:cs="Arial"/>
          <w:color w:val="auto"/>
        </w:rPr>
        <w:t>s</w:t>
      </w:r>
      <w:r w:rsidRPr="002B56B4">
        <w:rPr>
          <w:rFonts w:ascii="Arial" w:hAnsi="Arial" w:cs="Arial"/>
          <w:color w:val="auto"/>
        </w:rPr>
        <w:t xml:space="preserve"> provided by the Commonwealth Government under the Local Government (Financial Assistance) Act 1995 (Commonwealth) and distributed annually to 79 local governing bodies within Victoria. </w:t>
      </w:r>
    </w:p>
    <w:p w:rsidR="009A3542" w:rsidRPr="002B56B4" w:rsidRDefault="009A3542" w:rsidP="007345A8">
      <w:pPr>
        <w:pStyle w:val="Heading3"/>
        <w:spacing w:before="0" w:after="120" w:line="240" w:lineRule="auto"/>
        <w:rPr>
          <w:rFonts w:ascii="Arial" w:hAnsi="Arial" w:cs="Arial"/>
          <w:color w:val="auto"/>
        </w:rPr>
      </w:pPr>
      <w:r w:rsidRPr="002B56B4">
        <w:rPr>
          <w:rFonts w:ascii="Arial" w:hAnsi="Arial" w:cs="Arial"/>
          <w:color w:val="auto"/>
        </w:rPr>
        <w:t>The Financial Assistance Grant program consists of two components:</w:t>
      </w:r>
    </w:p>
    <w:p w:rsidR="009A3542" w:rsidRPr="002B56B4" w:rsidRDefault="009A3542" w:rsidP="007345A8">
      <w:pPr>
        <w:pStyle w:val="Heading3"/>
        <w:numPr>
          <w:ilvl w:val="0"/>
          <w:numId w:val="22"/>
        </w:numPr>
        <w:spacing w:before="0" w:after="120" w:line="240" w:lineRule="auto"/>
        <w:rPr>
          <w:rFonts w:ascii="Arial" w:hAnsi="Arial" w:cs="Arial"/>
          <w:color w:val="auto"/>
        </w:rPr>
      </w:pPr>
      <w:r w:rsidRPr="002B56B4">
        <w:rPr>
          <w:rFonts w:ascii="Arial" w:hAnsi="Arial" w:cs="Arial"/>
          <w:color w:val="auto"/>
        </w:rPr>
        <w:t>A general purpose component, which is distributed between the states and territories according to population (i.e., on a per capita basis), and</w:t>
      </w:r>
    </w:p>
    <w:p w:rsidR="009A3542" w:rsidRPr="002B56B4" w:rsidRDefault="009A3542" w:rsidP="007345A8">
      <w:pPr>
        <w:pStyle w:val="Heading3"/>
        <w:numPr>
          <w:ilvl w:val="0"/>
          <w:numId w:val="22"/>
        </w:numPr>
        <w:spacing w:before="0" w:after="120" w:line="240" w:lineRule="auto"/>
        <w:rPr>
          <w:rFonts w:ascii="Arial" w:hAnsi="Arial" w:cs="Arial"/>
          <w:color w:val="auto"/>
        </w:rPr>
      </w:pPr>
      <w:r w:rsidRPr="002B56B4">
        <w:rPr>
          <w:rFonts w:ascii="Arial" w:hAnsi="Arial" w:cs="Arial"/>
          <w:color w:val="auto"/>
        </w:rPr>
        <w:t>An identified local road component, which is distributed between the states and territories according to fixed historical shares.</w:t>
      </w:r>
    </w:p>
    <w:p w:rsidR="009A3542" w:rsidRDefault="009A3542" w:rsidP="007345A8">
      <w:pPr>
        <w:pStyle w:val="Heading3"/>
        <w:spacing w:before="0" w:after="120" w:line="240" w:lineRule="auto"/>
        <w:rPr>
          <w:rFonts w:ascii="Arial" w:hAnsi="Arial" w:cs="Arial"/>
          <w:color w:val="auto"/>
        </w:rPr>
      </w:pPr>
      <w:r w:rsidRPr="002B56B4">
        <w:rPr>
          <w:rFonts w:ascii="Arial" w:hAnsi="Arial" w:cs="Arial"/>
          <w:color w:val="auto"/>
        </w:rPr>
        <w:t>Both comp</w:t>
      </w:r>
      <w:r w:rsidR="00412608">
        <w:rPr>
          <w:rFonts w:ascii="Arial" w:hAnsi="Arial" w:cs="Arial"/>
          <w:color w:val="auto"/>
        </w:rPr>
        <w:t>onents of the grant are un-tied</w:t>
      </w:r>
      <w:r w:rsidRPr="002B56B4">
        <w:rPr>
          <w:rFonts w:ascii="Arial" w:hAnsi="Arial" w:cs="Arial"/>
          <w:color w:val="auto"/>
        </w:rPr>
        <w:t>, allowing councils to spend the grants according to local priorities.  Council applies the local roads component to road rehabilitation projects in its Capital Works Program, and utilises the general purpose component to fund Council operations and Capital works.</w:t>
      </w:r>
    </w:p>
    <w:p w:rsidR="009A3542" w:rsidRDefault="009A3542" w:rsidP="007345A8">
      <w:pPr>
        <w:pStyle w:val="Body0"/>
        <w:spacing w:after="120" w:line="240" w:lineRule="auto"/>
        <w:rPr>
          <w:rFonts w:ascii="Arial" w:hAnsi="Arial" w:cs="Arial"/>
          <w:sz w:val="22"/>
          <w:szCs w:val="22"/>
        </w:rPr>
      </w:pPr>
    </w:p>
    <w:p w:rsidR="00616268" w:rsidRPr="00616268" w:rsidRDefault="00616268"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sidRPr="00616268">
        <w:rPr>
          <w:rFonts w:ascii="Arial" w:hAnsi="Arial" w:cs="Arial"/>
          <w:b/>
          <w:color w:val="4F6228" w:themeColor="accent3" w:themeShade="80"/>
          <w:spacing w:val="-3"/>
          <w:sz w:val="22"/>
          <w:szCs w:val="22"/>
        </w:rPr>
        <w:t>Other Income</w:t>
      </w:r>
    </w:p>
    <w:p w:rsidR="0093692F" w:rsidRDefault="00616268" w:rsidP="007345A8">
      <w:pPr>
        <w:pStyle w:val="Body0"/>
        <w:spacing w:after="120" w:line="240" w:lineRule="auto"/>
        <w:rPr>
          <w:rFonts w:ascii="Arial" w:hAnsi="Arial" w:cs="Arial"/>
          <w:sz w:val="22"/>
          <w:szCs w:val="22"/>
        </w:rPr>
      </w:pPr>
      <w:r>
        <w:rPr>
          <w:rFonts w:ascii="Arial" w:hAnsi="Arial" w:cs="Arial"/>
          <w:sz w:val="22"/>
          <w:szCs w:val="22"/>
        </w:rPr>
        <w:t>Council receives income from other sources, including interest on investments, rent received, reimbursements and insu</w:t>
      </w:r>
      <w:r w:rsidR="00412608">
        <w:rPr>
          <w:rFonts w:ascii="Arial" w:hAnsi="Arial" w:cs="Arial"/>
          <w:sz w:val="22"/>
          <w:szCs w:val="22"/>
        </w:rPr>
        <w:t>rance refunds</w:t>
      </w:r>
      <w:r>
        <w:rPr>
          <w:rFonts w:ascii="Arial" w:hAnsi="Arial" w:cs="Arial"/>
          <w:sz w:val="22"/>
          <w:szCs w:val="22"/>
        </w:rPr>
        <w:t xml:space="preserve">. </w:t>
      </w:r>
    </w:p>
    <w:p w:rsidR="00A21142" w:rsidRPr="002B56B4" w:rsidRDefault="00A21142" w:rsidP="007345A8">
      <w:pPr>
        <w:pStyle w:val="Body0"/>
        <w:spacing w:after="120" w:line="240" w:lineRule="auto"/>
        <w:rPr>
          <w:rFonts w:ascii="Arial" w:hAnsi="Arial" w:cs="Arial"/>
          <w:sz w:val="22"/>
          <w:szCs w:val="22"/>
        </w:rPr>
      </w:pPr>
    </w:p>
    <w:p w:rsidR="00A21142" w:rsidRPr="002B56B4" w:rsidRDefault="00A21142" w:rsidP="007345A8">
      <w:pPr>
        <w:pStyle w:val="Heading2"/>
        <w:numPr>
          <w:ilvl w:val="0"/>
          <w:numId w:val="21"/>
        </w:numPr>
        <w:spacing w:before="0" w:after="120" w:line="240" w:lineRule="auto"/>
        <w:rPr>
          <w:rFonts w:ascii="Arial" w:hAnsi="Arial" w:cs="Arial"/>
          <w:b/>
          <w:color w:val="4F6228" w:themeColor="accent3" w:themeShade="80"/>
          <w:spacing w:val="-3"/>
          <w:sz w:val="22"/>
          <w:szCs w:val="22"/>
        </w:rPr>
      </w:pPr>
      <w:r w:rsidRPr="002B56B4">
        <w:rPr>
          <w:rFonts w:ascii="Arial" w:hAnsi="Arial" w:cs="Arial"/>
          <w:b/>
          <w:color w:val="4F6228" w:themeColor="accent3" w:themeShade="80"/>
          <w:spacing w:val="-3"/>
          <w:sz w:val="22"/>
          <w:szCs w:val="22"/>
        </w:rPr>
        <w:t>Review</w:t>
      </w:r>
    </w:p>
    <w:p w:rsidR="00A21142" w:rsidRPr="002B56B4" w:rsidRDefault="00A21142" w:rsidP="007345A8">
      <w:pPr>
        <w:spacing w:after="120" w:line="240" w:lineRule="auto"/>
        <w:rPr>
          <w:rFonts w:cs="Arial"/>
          <w:szCs w:val="22"/>
        </w:rPr>
      </w:pPr>
      <w:r w:rsidRPr="002B56B4">
        <w:rPr>
          <w:rFonts w:cs="Arial"/>
          <w:szCs w:val="22"/>
        </w:rPr>
        <w:t>The next review of this document is schedule</w:t>
      </w:r>
      <w:r w:rsidR="003517D4" w:rsidRPr="002B56B4">
        <w:rPr>
          <w:rFonts w:cs="Arial"/>
          <w:szCs w:val="22"/>
        </w:rPr>
        <w:t>d for completion by 30 June 2025</w:t>
      </w:r>
      <w:r w:rsidRPr="002B56B4">
        <w:rPr>
          <w:rFonts w:cs="Arial"/>
          <w:szCs w:val="22"/>
        </w:rPr>
        <w:t xml:space="preserve"> as part of the next Co</w:t>
      </w:r>
      <w:r w:rsidR="003517D4" w:rsidRPr="002B56B4">
        <w:rPr>
          <w:rFonts w:cs="Arial"/>
          <w:szCs w:val="22"/>
        </w:rPr>
        <w:t>uncil Plan development process.</w:t>
      </w:r>
    </w:p>
    <w:sectPr w:rsidR="00A21142" w:rsidRPr="002B56B4" w:rsidSect="000A4EF0">
      <w:footerReference w:type="default" r:id="rId15"/>
      <w:pgSz w:w="11906" w:h="16838"/>
      <w:pgMar w:top="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2F" w:rsidRDefault="0093692F" w:rsidP="0093692F">
      <w:pPr>
        <w:spacing w:after="0" w:line="240" w:lineRule="auto"/>
      </w:pPr>
      <w:r>
        <w:separator/>
      </w:r>
    </w:p>
  </w:endnote>
  <w:endnote w:type="continuationSeparator" w:id="0">
    <w:p w:rsidR="0093692F" w:rsidRDefault="0093692F" w:rsidP="009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useoSans-100">
    <w:altName w:val="Museo Sans 100"/>
    <w:panose1 w:val="00000000000000000000"/>
    <w:charset w:val="4D"/>
    <w:family w:val="auto"/>
    <w:notTrueType/>
    <w:pitch w:val="default"/>
    <w:sig w:usb0="00000003" w:usb1="00000000" w:usb2="00000000" w:usb3="00000000" w:csb0="00000001" w:csb1="00000000"/>
  </w:font>
  <w:font w:name="MuseoSans-500">
    <w:altName w:val="Museo Sans 500"/>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76687"/>
      <w:docPartObj>
        <w:docPartGallery w:val="Page Numbers (Bottom of Page)"/>
        <w:docPartUnique/>
      </w:docPartObj>
    </w:sdtPr>
    <w:sdtEndPr>
      <w:rPr>
        <w:noProof/>
      </w:rPr>
    </w:sdtEndPr>
    <w:sdtContent>
      <w:p w:rsidR="0093692F" w:rsidRDefault="0093692F">
        <w:pPr>
          <w:pStyle w:val="Footer"/>
          <w:jc w:val="right"/>
        </w:pPr>
        <w:r>
          <w:fldChar w:fldCharType="begin"/>
        </w:r>
        <w:r>
          <w:instrText xml:space="preserve"> PAGE   \* MERGEFORMAT </w:instrText>
        </w:r>
        <w:r>
          <w:fldChar w:fldCharType="separate"/>
        </w:r>
        <w:r w:rsidR="0070060C">
          <w:rPr>
            <w:noProof/>
          </w:rPr>
          <w:t>10</w:t>
        </w:r>
        <w:r>
          <w:rPr>
            <w:noProof/>
          </w:rPr>
          <w:fldChar w:fldCharType="end"/>
        </w:r>
      </w:p>
    </w:sdtContent>
  </w:sdt>
  <w:p w:rsidR="0093692F" w:rsidRDefault="0093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2F" w:rsidRDefault="0093692F" w:rsidP="0093692F">
      <w:pPr>
        <w:spacing w:after="0" w:line="240" w:lineRule="auto"/>
      </w:pPr>
      <w:r>
        <w:separator/>
      </w:r>
    </w:p>
  </w:footnote>
  <w:footnote w:type="continuationSeparator" w:id="0">
    <w:p w:rsidR="0093692F" w:rsidRDefault="0093692F" w:rsidP="0093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5B"/>
    <w:multiLevelType w:val="hybridMultilevel"/>
    <w:tmpl w:val="D9089B14"/>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5947"/>
    <w:multiLevelType w:val="hybridMultilevel"/>
    <w:tmpl w:val="9C50266E"/>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043AA"/>
    <w:multiLevelType w:val="hybridMultilevel"/>
    <w:tmpl w:val="88DA9374"/>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30B78"/>
    <w:multiLevelType w:val="hybridMultilevel"/>
    <w:tmpl w:val="6B589C68"/>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0B8"/>
    <w:multiLevelType w:val="hybridMultilevel"/>
    <w:tmpl w:val="F3443BF6"/>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17CC6"/>
    <w:multiLevelType w:val="hybridMultilevel"/>
    <w:tmpl w:val="1F3C8E6A"/>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46AD4"/>
    <w:multiLevelType w:val="hybridMultilevel"/>
    <w:tmpl w:val="273ECB5C"/>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647"/>
    <w:multiLevelType w:val="hybridMultilevel"/>
    <w:tmpl w:val="CD26A9D8"/>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05C31"/>
    <w:multiLevelType w:val="hybridMultilevel"/>
    <w:tmpl w:val="146CB214"/>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52193"/>
    <w:multiLevelType w:val="hybridMultilevel"/>
    <w:tmpl w:val="9998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85B6E"/>
    <w:multiLevelType w:val="multilevel"/>
    <w:tmpl w:val="A4D87F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2F73DC0"/>
    <w:multiLevelType w:val="hybridMultilevel"/>
    <w:tmpl w:val="9CB2C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9C0ACA"/>
    <w:multiLevelType w:val="hybridMultilevel"/>
    <w:tmpl w:val="228A658A"/>
    <w:lvl w:ilvl="0" w:tplc="E7F418F6">
      <w:start w:val="1"/>
      <w:numFmt w:val="bullet"/>
      <w:lvlText w:val=""/>
      <w:lvlJc w:val="left"/>
      <w:pPr>
        <w:ind w:left="601" w:hanging="284"/>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15:restartNumberingAfterBreak="0">
    <w:nsid w:val="4BD27FF2"/>
    <w:multiLevelType w:val="hybridMultilevel"/>
    <w:tmpl w:val="9BFEDE00"/>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A1D67"/>
    <w:multiLevelType w:val="hybridMultilevel"/>
    <w:tmpl w:val="44469028"/>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102E"/>
    <w:multiLevelType w:val="hybridMultilevel"/>
    <w:tmpl w:val="E4DC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417BD3"/>
    <w:multiLevelType w:val="hybridMultilevel"/>
    <w:tmpl w:val="7E1EC7AA"/>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81916"/>
    <w:multiLevelType w:val="hybridMultilevel"/>
    <w:tmpl w:val="3CAAB4AA"/>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552C2"/>
    <w:multiLevelType w:val="hybridMultilevel"/>
    <w:tmpl w:val="4C164F44"/>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34E5B"/>
    <w:multiLevelType w:val="hybridMultilevel"/>
    <w:tmpl w:val="6E76068E"/>
    <w:lvl w:ilvl="0" w:tplc="E7F418F6">
      <w:start w:val="1"/>
      <w:numFmt w:val="bullet"/>
      <w:lvlText w:val=""/>
      <w:lvlJc w:val="left"/>
      <w:pPr>
        <w:ind w:left="601" w:hanging="284"/>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6D220DCD"/>
    <w:multiLevelType w:val="hybridMultilevel"/>
    <w:tmpl w:val="F40C037C"/>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66A7F"/>
    <w:multiLevelType w:val="hybridMultilevel"/>
    <w:tmpl w:val="B3429548"/>
    <w:lvl w:ilvl="0" w:tplc="E7F418F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B13"/>
    <w:multiLevelType w:val="hybridMultilevel"/>
    <w:tmpl w:val="309E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193A71"/>
    <w:multiLevelType w:val="hybridMultilevel"/>
    <w:tmpl w:val="6610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3D2380"/>
    <w:multiLevelType w:val="hybridMultilevel"/>
    <w:tmpl w:val="1A3E2416"/>
    <w:lvl w:ilvl="0" w:tplc="E7F418F6">
      <w:start w:val="1"/>
      <w:numFmt w:val="bullet"/>
      <w:lvlText w:val=""/>
      <w:lvlJc w:val="left"/>
      <w:pPr>
        <w:ind w:left="567" w:hanging="284"/>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 w:numId="2">
    <w:abstractNumId w:val="24"/>
  </w:num>
  <w:num w:numId="3">
    <w:abstractNumId w:val="18"/>
  </w:num>
  <w:num w:numId="4">
    <w:abstractNumId w:val="2"/>
  </w:num>
  <w:num w:numId="5">
    <w:abstractNumId w:val="16"/>
  </w:num>
  <w:num w:numId="6">
    <w:abstractNumId w:val="8"/>
  </w:num>
  <w:num w:numId="7">
    <w:abstractNumId w:val="14"/>
  </w:num>
  <w:num w:numId="8">
    <w:abstractNumId w:val="4"/>
  </w:num>
  <w:num w:numId="9">
    <w:abstractNumId w:val="21"/>
  </w:num>
  <w:num w:numId="10">
    <w:abstractNumId w:val="12"/>
  </w:num>
  <w:num w:numId="11">
    <w:abstractNumId w:val="19"/>
  </w:num>
  <w:num w:numId="12">
    <w:abstractNumId w:val="5"/>
  </w:num>
  <w:num w:numId="13">
    <w:abstractNumId w:val="20"/>
  </w:num>
  <w:num w:numId="14">
    <w:abstractNumId w:val="1"/>
  </w:num>
  <w:num w:numId="15">
    <w:abstractNumId w:val="13"/>
  </w:num>
  <w:num w:numId="16">
    <w:abstractNumId w:val="6"/>
  </w:num>
  <w:num w:numId="17">
    <w:abstractNumId w:val="3"/>
  </w:num>
  <w:num w:numId="18">
    <w:abstractNumId w:val="17"/>
  </w:num>
  <w:num w:numId="19">
    <w:abstractNumId w:val="7"/>
  </w:num>
  <w:num w:numId="20">
    <w:abstractNumId w:val="15"/>
  </w:num>
  <w:num w:numId="21">
    <w:abstractNumId w:val="10"/>
  </w:num>
  <w:num w:numId="22">
    <w:abstractNumId w:val="23"/>
  </w:num>
  <w:num w:numId="23">
    <w:abstractNumId w:val="22"/>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1"/>
    <w:rsid w:val="00026083"/>
    <w:rsid w:val="000265DB"/>
    <w:rsid w:val="000A4EF0"/>
    <w:rsid w:val="000A72C2"/>
    <w:rsid w:val="000E0A51"/>
    <w:rsid w:val="000F3217"/>
    <w:rsid w:val="000F3488"/>
    <w:rsid w:val="00110806"/>
    <w:rsid w:val="00117E79"/>
    <w:rsid w:val="001549D2"/>
    <w:rsid w:val="001C1ED6"/>
    <w:rsid w:val="002B56B4"/>
    <w:rsid w:val="00312FD1"/>
    <w:rsid w:val="003517D4"/>
    <w:rsid w:val="00373512"/>
    <w:rsid w:val="003E5D4E"/>
    <w:rsid w:val="00412608"/>
    <w:rsid w:val="005A2CD4"/>
    <w:rsid w:val="00616268"/>
    <w:rsid w:val="0062708D"/>
    <w:rsid w:val="00675C45"/>
    <w:rsid w:val="006E0BF2"/>
    <w:rsid w:val="006F33C5"/>
    <w:rsid w:val="0070060C"/>
    <w:rsid w:val="007345A8"/>
    <w:rsid w:val="007465E9"/>
    <w:rsid w:val="00750562"/>
    <w:rsid w:val="00813303"/>
    <w:rsid w:val="0082268B"/>
    <w:rsid w:val="00871ECA"/>
    <w:rsid w:val="008B69DD"/>
    <w:rsid w:val="008F5540"/>
    <w:rsid w:val="009276D6"/>
    <w:rsid w:val="00932689"/>
    <w:rsid w:val="0093692F"/>
    <w:rsid w:val="009A3542"/>
    <w:rsid w:val="00A21142"/>
    <w:rsid w:val="00AB7156"/>
    <w:rsid w:val="00B46545"/>
    <w:rsid w:val="00B5688F"/>
    <w:rsid w:val="00B63728"/>
    <w:rsid w:val="00B8536B"/>
    <w:rsid w:val="00C17954"/>
    <w:rsid w:val="00C2725F"/>
    <w:rsid w:val="00CA7C28"/>
    <w:rsid w:val="00CE05AB"/>
    <w:rsid w:val="00D21471"/>
    <w:rsid w:val="00D3355D"/>
    <w:rsid w:val="00D960BF"/>
    <w:rsid w:val="00DA5460"/>
    <w:rsid w:val="00E43C37"/>
    <w:rsid w:val="00EB5AF6"/>
    <w:rsid w:val="00EC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0CB83E-EA11-498D-BD2A-EF9E6F4C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51"/>
    <w:rPr>
      <w:rFonts w:ascii="Arial" w:eastAsia="ヒラギノ角ゴ Pro W3" w:hAnsi="Arial" w:cs="Times New Roman"/>
      <w:color w:val="000000"/>
      <w:szCs w:val="24"/>
      <w:lang w:val="en-US"/>
    </w:rPr>
  </w:style>
  <w:style w:type="paragraph" w:styleId="Heading1">
    <w:name w:val="heading 1"/>
    <w:basedOn w:val="Normal"/>
    <w:next w:val="Normal"/>
    <w:link w:val="Heading1Char"/>
    <w:uiPriority w:val="9"/>
    <w:qFormat/>
    <w:rsid w:val="009369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 Body"/>
    <w:basedOn w:val="Normal"/>
    <w:uiPriority w:val="99"/>
    <w:rsid w:val="000E0A51"/>
    <w:pPr>
      <w:widowControl w:val="0"/>
      <w:suppressAutoHyphens/>
      <w:autoSpaceDE w:val="0"/>
      <w:autoSpaceDN w:val="0"/>
      <w:adjustRightInd w:val="0"/>
      <w:spacing w:after="142" w:line="260" w:lineRule="atLeast"/>
      <w:textAlignment w:val="center"/>
    </w:pPr>
    <w:rPr>
      <w:rFonts w:ascii="MuseoSans-100" w:eastAsia="Cambria" w:hAnsi="MuseoSans-100" w:cs="MuseoSans-100"/>
      <w:spacing w:val="-2"/>
      <w:sz w:val="20"/>
      <w:szCs w:val="20"/>
      <w:lang w:val="en-GB"/>
    </w:rPr>
  </w:style>
  <w:style w:type="paragraph" w:customStyle="1" w:styleId="Heading10">
    <w:name w:val="• Heading 1"/>
    <w:basedOn w:val="Normal"/>
    <w:uiPriority w:val="99"/>
    <w:rsid w:val="000E0A51"/>
    <w:pPr>
      <w:widowControl w:val="0"/>
      <w:suppressAutoHyphens/>
      <w:autoSpaceDE w:val="0"/>
      <w:autoSpaceDN w:val="0"/>
      <w:adjustRightInd w:val="0"/>
      <w:spacing w:after="0" w:line="500" w:lineRule="atLeast"/>
      <w:textAlignment w:val="center"/>
    </w:pPr>
    <w:rPr>
      <w:rFonts w:ascii="MuseoSans-500" w:eastAsia="Cambria" w:hAnsi="MuseoSans-500" w:cs="MuseoSans-500"/>
      <w:color w:val="5C78B4"/>
      <w:spacing w:val="-10"/>
      <w:sz w:val="50"/>
      <w:szCs w:val="50"/>
      <w:lang w:val="en-GB"/>
    </w:rPr>
  </w:style>
  <w:style w:type="paragraph" w:customStyle="1" w:styleId="BulletL1">
    <w:name w:val="• Bullet L1"/>
    <w:basedOn w:val="Normal"/>
    <w:uiPriority w:val="99"/>
    <w:rsid w:val="000E0A51"/>
    <w:pPr>
      <w:widowControl w:val="0"/>
      <w:tabs>
        <w:tab w:val="left" w:pos="283"/>
      </w:tabs>
      <w:suppressAutoHyphens/>
      <w:autoSpaceDE w:val="0"/>
      <w:autoSpaceDN w:val="0"/>
      <w:adjustRightInd w:val="0"/>
      <w:spacing w:after="57" w:line="260" w:lineRule="atLeast"/>
      <w:ind w:left="283" w:hanging="283"/>
      <w:textAlignment w:val="center"/>
    </w:pPr>
    <w:rPr>
      <w:rFonts w:ascii="MuseoSans-100" w:eastAsia="Cambria" w:hAnsi="MuseoSans-100" w:cs="MuseoSans-100"/>
      <w:spacing w:val="-2"/>
      <w:sz w:val="20"/>
      <w:szCs w:val="20"/>
      <w:lang w:val="en-GB"/>
    </w:rPr>
  </w:style>
  <w:style w:type="paragraph" w:customStyle="1" w:styleId="Heading2">
    <w:name w:val="• Heading 2"/>
    <w:basedOn w:val="Normal"/>
    <w:uiPriority w:val="99"/>
    <w:rsid w:val="000E0A51"/>
    <w:pPr>
      <w:widowControl w:val="0"/>
      <w:tabs>
        <w:tab w:val="left" w:pos="560"/>
      </w:tabs>
      <w:suppressAutoHyphens/>
      <w:autoSpaceDE w:val="0"/>
      <w:autoSpaceDN w:val="0"/>
      <w:adjustRightInd w:val="0"/>
      <w:spacing w:before="142" w:after="142" w:line="340" w:lineRule="atLeast"/>
      <w:ind w:left="567" w:hanging="567"/>
      <w:textAlignment w:val="center"/>
    </w:pPr>
    <w:rPr>
      <w:rFonts w:ascii="MuseoSans-500" w:eastAsia="Cambria" w:hAnsi="MuseoSans-500" w:cs="MuseoSans-500"/>
      <w:color w:val="5C78B4"/>
      <w:spacing w:val="-6"/>
      <w:sz w:val="28"/>
      <w:szCs w:val="28"/>
      <w:lang w:val="en-GB"/>
    </w:rPr>
  </w:style>
  <w:style w:type="character" w:customStyle="1" w:styleId="WordImportedListStyle13StylesforWordRTFImportedLists">
    <w:name w:val="Word Imported List Style13 (Styles for Word/RTF Imported Lists)"/>
    <w:uiPriority w:val="99"/>
    <w:rsid w:val="000E0A51"/>
  </w:style>
  <w:style w:type="paragraph" w:customStyle="1" w:styleId="Body0">
    <w:name w:val="Body"/>
    <w:basedOn w:val="Normal"/>
    <w:uiPriority w:val="99"/>
    <w:rsid w:val="000E0A51"/>
    <w:pPr>
      <w:widowControl w:val="0"/>
      <w:suppressAutoHyphens/>
      <w:autoSpaceDE w:val="0"/>
      <w:autoSpaceDN w:val="0"/>
      <w:adjustRightInd w:val="0"/>
      <w:spacing w:after="142" w:line="230" w:lineRule="atLeast"/>
      <w:textAlignment w:val="center"/>
    </w:pPr>
    <w:rPr>
      <w:rFonts w:ascii="MuseoSans-300" w:eastAsia="Cambria" w:hAnsi="MuseoSans-300" w:cs="MuseoSans-300"/>
      <w:sz w:val="18"/>
      <w:szCs w:val="18"/>
      <w:lang w:val="en-GB"/>
    </w:rPr>
  </w:style>
  <w:style w:type="paragraph" w:customStyle="1" w:styleId="BulletL1Last">
    <w:name w:val="• Bullet L1 Last"/>
    <w:basedOn w:val="Normal"/>
    <w:uiPriority w:val="99"/>
    <w:rsid w:val="000E0A51"/>
    <w:pPr>
      <w:widowControl w:val="0"/>
      <w:tabs>
        <w:tab w:val="left" w:pos="283"/>
      </w:tabs>
      <w:suppressAutoHyphens/>
      <w:autoSpaceDE w:val="0"/>
      <w:autoSpaceDN w:val="0"/>
      <w:adjustRightInd w:val="0"/>
      <w:spacing w:after="142" w:line="260" w:lineRule="atLeast"/>
      <w:ind w:left="283" w:hanging="283"/>
      <w:textAlignment w:val="center"/>
    </w:pPr>
    <w:rPr>
      <w:rFonts w:ascii="MuseoSans-100" w:eastAsia="Cambria" w:hAnsi="MuseoSans-100" w:cs="MuseoSans-100"/>
      <w:spacing w:val="-2"/>
      <w:sz w:val="20"/>
      <w:szCs w:val="20"/>
      <w:lang w:val="en-GB"/>
    </w:rPr>
  </w:style>
  <w:style w:type="character" w:customStyle="1" w:styleId="Bold">
    <w:name w:val="• Bold"/>
    <w:uiPriority w:val="99"/>
    <w:rsid w:val="000E0A51"/>
    <w:rPr>
      <w:rFonts w:ascii="MuseoSans-500" w:hAnsi="MuseoSans-500" w:cs="MuseoSans-500"/>
      <w:color w:val="000000"/>
    </w:rPr>
  </w:style>
  <w:style w:type="character" w:customStyle="1" w:styleId="WordImportedListStyle17StylesforWordRTFImportedLists">
    <w:name w:val="Word Imported List Style17 (Styles for Word/RTF Imported Lists)"/>
    <w:uiPriority w:val="99"/>
    <w:rsid w:val="000E0A51"/>
  </w:style>
  <w:style w:type="paragraph" w:customStyle="1" w:styleId="NoParagraphStyle">
    <w:name w:val="[No Paragraph Style]"/>
    <w:rsid w:val="000E0A51"/>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paragraph" w:customStyle="1" w:styleId="BodyBold">
    <w:name w:val="Body Bold"/>
    <w:basedOn w:val="Body"/>
    <w:uiPriority w:val="99"/>
    <w:rsid w:val="000E0A51"/>
    <w:rPr>
      <w:rFonts w:ascii="MuseoSans-500" w:hAnsi="MuseoSans-500" w:cs="MuseoSans-500"/>
    </w:rPr>
  </w:style>
  <w:style w:type="paragraph" w:customStyle="1" w:styleId="Heading3">
    <w:name w:val="• Heading 3"/>
    <w:basedOn w:val="NoParagraphStyle"/>
    <w:uiPriority w:val="99"/>
    <w:rsid w:val="000E0A51"/>
    <w:pPr>
      <w:suppressAutoHyphens/>
      <w:spacing w:before="227" w:after="213" w:line="260" w:lineRule="atLeast"/>
    </w:pPr>
    <w:rPr>
      <w:rFonts w:ascii="MuseoSans-500" w:hAnsi="MuseoSans-500" w:cs="MuseoSans-500"/>
      <w:color w:val="00A198"/>
      <w:spacing w:val="-2"/>
      <w:sz w:val="22"/>
      <w:szCs w:val="22"/>
    </w:rPr>
  </w:style>
  <w:style w:type="character" w:customStyle="1" w:styleId="Heading1Char">
    <w:name w:val="Heading 1 Char"/>
    <w:basedOn w:val="DefaultParagraphFont"/>
    <w:link w:val="Heading1"/>
    <w:uiPriority w:val="9"/>
    <w:rsid w:val="0093692F"/>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93692F"/>
    <w:pPr>
      <w:spacing w:line="259" w:lineRule="auto"/>
      <w:outlineLvl w:val="9"/>
    </w:pPr>
  </w:style>
  <w:style w:type="table" w:styleId="TableGrid">
    <w:name w:val="Table Grid"/>
    <w:basedOn w:val="TableNormal"/>
    <w:uiPriority w:val="59"/>
    <w:rsid w:val="0093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92F"/>
    <w:rPr>
      <w:rFonts w:ascii="Arial" w:eastAsia="ヒラギノ角ゴ Pro W3" w:hAnsi="Arial" w:cs="Times New Roman"/>
      <w:color w:val="000000"/>
      <w:szCs w:val="24"/>
      <w:lang w:val="en-US"/>
    </w:rPr>
  </w:style>
  <w:style w:type="paragraph" w:styleId="Footer">
    <w:name w:val="footer"/>
    <w:basedOn w:val="Normal"/>
    <w:link w:val="FooterChar"/>
    <w:uiPriority w:val="99"/>
    <w:unhideWhenUsed/>
    <w:rsid w:val="00936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2F"/>
    <w:rPr>
      <w:rFonts w:ascii="Arial" w:eastAsia="ヒラギノ角ゴ Pro W3" w:hAnsi="Arial" w:cs="Times New Roman"/>
      <w:color w:val="000000"/>
      <w:szCs w:val="24"/>
      <w:lang w:val="en-US"/>
    </w:rPr>
  </w:style>
  <w:style w:type="paragraph" w:styleId="ListParagraph">
    <w:name w:val="List Paragraph"/>
    <w:basedOn w:val="Normal"/>
    <w:uiPriority w:val="34"/>
    <w:qFormat/>
    <w:rsid w:val="003E5D4E"/>
    <w:pPr>
      <w:ind w:left="720"/>
      <w:contextualSpacing/>
    </w:pPr>
  </w:style>
  <w:style w:type="paragraph" w:styleId="BalloonText">
    <w:name w:val="Balloon Text"/>
    <w:basedOn w:val="Normal"/>
    <w:link w:val="BalloonTextChar"/>
    <w:uiPriority w:val="99"/>
    <w:semiHidden/>
    <w:unhideWhenUsed/>
    <w:rsid w:val="00373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12"/>
    <w:rPr>
      <w:rFonts w:ascii="Segoe UI" w:eastAsia="ヒラギノ角ゴ Pro W3"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172">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EDBF-BB58-4E53-8E0F-459047E2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2790</Words>
  <Characters>15013</Characters>
  <Application>Microsoft Office Word</Application>
  <DocSecurity>4</DocSecurity>
  <Lines>375</Lines>
  <Paragraphs>217</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 Sukunda</dc:creator>
  <cp:keywords/>
  <dc:description/>
  <cp:lastModifiedBy>Bianca Caruso</cp:lastModifiedBy>
  <cp:revision>2</cp:revision>
  <cp:lastPrinted>2021-03-24T05:48:00Z</cp:lastPrinted>
  <dcterms:created xsi:type="dcterms:W3CDTF">2021-04-28T06:25:00Z</dcterms:created>
  <dcterms:modified xsi:type="dcterms:W3CDTF">2021-04-28T06:25:00Z</dcterms:modified>
</cp:coreProperties>
</file>