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BBFE9D" w14:textId="0AEE8CFD" w:rsidR="0007515A" w:rsidRPr="00533CF2" w:rsidRDefault="00FA29AD">
      <w:pPr>
        <w:rPr>
          <w:rFonts w:cs="Arial"/>
          <w:sz w:val="21"/>
          <w:szCs w:val="21"/>
        </w:rPr>
      </w:pP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t xml:space="preserve"> </w:t>
      </w:r>
    </w:p>
    <w:tbl>
      <w:tblPr>
        <w:tblW w:w="8613" w:type="dxa"/>
        <w:tblLook w:val="01E0" w:firstRow="1" w:lastRow="1" w:firstColumn="1" w:lastColumn="1" w:noHBand="0" w:noVBand="0"/>
      </w:tblPr>
      <w:tblGrid>
        <w:gridCol w:w="8613"/>
      </w:tblGrid>
      <w:tr w:rsidR="00824D69" w:rsidRPr="00533CF2" w14:paraId="69B64CA2" w14:textId="77777777" w:rsidTr="56C570C5">
        <w:tc>
          <w:tcPr>
            <w:tcW w:w="8613" w:type="dxa"/>
          </w:tcPr>
          <w:p w14:paraId="2523CE83" w14:textId="0D2A7F13" w:rsidR="00824D69" w:rsidRPr="00916EE1" w:rsidRDefault="009C31D5" w:rsidP="00916EE1">
            <w:pPr>
              <w:rPr>
                <w:rFonts w:cs="Arial"/>
                <w:sz w:val="21"/>
                <w:szCs w:val="21"/>
              </w:rPr>
            </w:pPr>
            <w:r>
              <w:rPr>
                <w:rFonts w:cs="Arial"/>
                <w:b/>
                <w:sz w:val="21"/>
                <w:szCs w:val="21"/>
              </w:rPr>
              <w:t>Title</w:t>
            </w:r>
            <w:r w:rsidR="000274A4">
              <w:rPr>
                <w:rFonts w:cs="Arial"/>
                <w:b/>
                <w:sz w:val="21"/>
                <w:szCs w:val="21"/>
              </w:rPr>
              <w:t>:</w:t>
            </w:r>
            <w:r w:rsidR="000274A4" w:rsidRPr="00EF006C">
              <w:rPr>
                <w:rFonts w:cs="Arial"/>
                <w:bCs/>
                <w:sz w:val="21"/>
                <w:szCs w:val="21"/>
              </w:rPr>
              <w:t xml:space="preserve"> </w:t>
            </w:r>
            <w:r w:rsidR="00916EE1" w:rsidRPr="00916EE1">
              <w:rPr>
                <w:rFonts w:cs="Arial"/>
                <w:sz w:val="21"/>
                <w:szCs w:val="21"/>
              </w:rPr>
              <w:t>McPherson’s ‘Yarra Glen’ Station/Estate</w:t>
            </w:r>
          </w:p>
        </w:tc>
      </w:tr>
      <w:tr w:rsidR="0053253F" w:rsidRPr="00533CF2" w14:paraId="48F0B5C5" w14:textId="77777777" w:rsidTr="56C570C5">
        <w:tc>
          <w:tcPr>
            <w:tcW w:w="8613" w:type="dxa"/>
          </w:tcPr>
          <w:p w14:paraId="11A6C2EA" w14:textId="77777777" w:rsidR="0053253F" w:rsidRPr="00533CF2" w:rsidRDefault="0053253F" w:rsidP="0053253F">
            <w:pPr>
              <w:rPr>
                <w:rFonts w:cs="Arial"/>
                <w:sz w:val="21"/>
                <w:szCs w:val="21"/>
              </w:rPr>
            </w:pPr>
          </w:p>
          <w:p w14:paraId="4590393D" w14:textId="4D1E3229" w:rsidR="0053253F" w:rsidRPr="00533CF2" w:rsidRDefault="0053253F" w:rsidP="00E0419F">
            <w:pPr>
              <w:rPr>
                <w:rFonts w:cs="Arial"/>
                <w:sz w:val="21"/>
                <w:szCs w:val="21"/>
              </w:rPr>
            </w:pPr>
            <w:r w:rsidRPr="00740B5D">
              <w:rPr>
                <w:rFonts w:cs="Arial"/>
                <w:b/>
                <w:bCs/>
                <w:sz w:val="21"/>
                <w:szCs w:val="21"/>
              </w:rPr>
              <w:t>Prepared by:</w:t>
            </w:r>
            <w:r w:rsidRPr="56C570C5">
              <w:rPr>
                <w:rFonts w:cs="Arial"/>
                <w:sz w:val="21"/>
                <w:szCs w:val="21"/>
              </w:rPr>
              <w:t xml:space="preserve"> </w:t>
            </w:r>
            <w:r w:rsidR="007A044E" w:rsidRPr="56C570C5">
              <w:rPr>
                <w:rFonts w:cs="Arial"/>
                <w:sz w:val="21"/>
                <w:szCs w:val="21"/>
              </w:rPr>
              <w:t>Trethowan Architect</w:t>
            </w:r>
            <w:r w:rsidR="00AA2B0C" w:rsidRPr="56C570C5">
              <w:rPr>
                <w:rFonts w:cs="Arial"/>
                <w:sz w:val="21"/>
                <w:szCs w:val="21"/>
              </w:rPr>
              <w:t>ure</w:t>
            </w:r>
          </w:p>
        </w:tc>
      </w:tr>
    </w:tbl>
    <w:p w14:paraId="557A33E3" w14:textId="53B6973A" w:rsidR="00FA29AD" w:rsidRPr="00533CF2" w:rsidRDefault="00FA29AD" w:rsidP="0053253F">
      <w:pPr>
        <w:rPr>
          <w:rFonts w:cs="Arial"/>
          <w:sz w:val="21"/>
          <w:szCs w:val="21"/>
        </w:rPr>
      </w:pPr>
    </w:p>
    <w:tbl>
      <w:tblPr>
        <w:tblW w:w="8613" w:type="dxa"/>
        <w:tblBorders>
          <w:insideH w:val="single" w:sz="4" w:space="0" w:color="auto"/>
          <w:insideV w:val="single" w:sz="4" w:space="0" w:color="auto"/>
        </w:tblBorders>
        <w:tblLook w:val="01E0" w:firstRow="1" w:lastRow="1" w:firstColumn="1" w:lastColumn="1" w:noHBand="0" w:noVBand="0"/>
      </w:tblPr>
      <w:tblGrid>
        <w:gridCol w:w="5495"/>
        <w:gridCol w:w="3118"/>
      </w:tblGrid>
      <w:tr w:rsidR="00F412AE" w:rsidRPr="00533CF2" w14:paraId="51C0521A" w14:textId="77777777" w:rsidTr="00492AB4">
        <w:trPr>
          <w:trHeight w:val="397"/>
        </w:trPr>
        <w:tc>
          <w:tcPr>
            <w:tcW w:w="8613" w:type="dxa"/>
            <w:gridSpan w:val="2"/>
          </w:tcPr>
          <w:p w14:paraId="4C2565D4" w14:textId="269BC642" w:rsidR="00F412AE" w:rsidRPr="00E0419F" w:rsidRDefault="00F412AE" w:rsidP="00465000">
            <w:pPr>
              <w:rPr>
                <w:rFonts w:cs="Arial"/>
                <w:sz w:val="21"/>
                <w:szCs w:val="21"/>
              </w:rPr>
            </w:pPr>
            <w:r w:rsidRPr="00533CF2">
              <w:rPr>
                <w:rFonts w:cs="Arial"/>
                <w:b/>
                <w:sz w:val="21"/>
                <w:szCs w:val="21"/>
              </w:rPr>
              <w:t>Address:</w:t>
            </w:r>
            <w:r w:rsidR="00E0419F" w:rsidRPr="00EF006C">
              <w:rPr>
                <w:rFonts w:cs="Arial"/>
                <w:bCs/>
                <w:sz w:val="21"/>
                <w:szCs w:val="21"/>
              </w:rPr>
              <w:t xml:space="preserve"> </w:t>
            </w:r>
            <w:r w:rsidR="00F0661C">
              <w:rPr>
                <w:rFonts w:cs="Arial"/>
                <w:bCs/>
                <w:sz w:val="21"/>
                <w:szCs w:val="21"/>
              </w:rPr>
              <w:t>75 Wendy Way</w:t>
            </w:r>
            <w:r w:rsidR="00D962F9">
              <w:rPr>
                <w:rFonts w:cs="Arial"/>
                <w:bCs/>
                <w:sz w:val="21"/>
                <w:szCs w:val="21"/>
              </w:rPr>
              <w:t>,</w:t>
            </w:r>
            <w:r w:rsidR="00F0661C">
              <w:rPr>
                <w:rFonts w:cs="Arial"/>
                <w:bCs/>
                <w:sz w:val="21"/>
                <w:szCs w:val="21"/>
              </w:rPr>
              <w:t xml:space="preserve"> Christmas Hills</w:t>
            </w:r>
          </w:p>
        </w:tc>
      </w:tr>
      <w:tr w:rsidR="00D00A0D" w:rsidRPr="00533CF2" w14:paraId="25C448F6" w14:textId="77777777" w:rsidTr="00492AB4">
        <w:trPr>
          <w:trHeight w:val="397"/>
        </w:trPr>
        <w:tc>
          <w:tcPr>
            <w:tcW w:w="5495" w:type="dxa"/>
          </w:tcPr>
          <w:p w14:paraId="03DD53CB" w14:textId="758EC7EA" w:rsidR="003A42FC" w:rsidRPr="00916EE1" w:rsidRDefault="00D00A0D" w:rsidP="003A42FC">
            <w:pPr>
              <w:jc w:val="left"/>
              <w:rPr>
                <w:rFonts w:cs="Arial"/>
                <w:sz w:val="21"/>
                <w:szCs w:val="21"/>
              </w:rPr>
            </w:pPr>
            <w:r w:rsidRPr="00533CF2">
              <w:rPr>
                <w:rFonts w:cs="Arial"/>
                <w:b/>
                <w:sz w:val="21"/>
                <w:szCs w:val="21"/>
              </w:rPr>
              <w:t>Name:</w:t>
            </w:r>
            <w:r w:rsidR="00EF006C" w:rsidRPr="00EF006C">
              <w:rPr>
                <w:rFonts w:cs="Arial"/>
                <w:bCs/>
                <w:sz w:val="21"/>
                <w:szCs w:val="21"/>
              </w:rPr>
              <w:t xml:space="preserve"> </w:t>
            </w:r>
            <w:r w:rsidR="003A42FC" w:rsidRPr="00916EE1">
              <w:rPr>
                <w:rFonts w:cs="Arial"/>
                <w:sz w:val="21"/>
                <w:szCs w:val="21"/>
              </w:rPr>
              <w:t>McPherson’s ‘Yarra Glen’ Station/Estate</w:t>
            </w:r>
            <w:r w:rsidR="003A42FC">
              <w:rPr>
                <w:rFonts w:cs="Arial"/>
                <w:sz w:val="21"/>
                <w:szCs w:val="21"/>
              </w:rPr>
              <w:t xml:space="preserve">, </w:t>
            </w:r>
            <w:r w:rsidR="003A42FC">
              <w:rPr>
                <w:rFonts w:cs="Arial"/>
                <w:bCs/>
                <w:sz w:val="21"/>
                <w:szCs w:val="21"/>
              </w:rPr>
              <w:t>75 Wendy Way, Christmas Hills</w:t>
            </w:r>
          </w:p>
          <w:p w14:paraId="5A1A9259" w14:textId="5CE44C84" w:rsidR="00D00A0D" w:rsidRPr="00533CF2" w:rsidRDefault="00D00A0D" w:rsidP="00465000">
            <w:pPr>
              <w:rPr>
                <w:rFonts w:cs="Arial"/>
                <w:b/>
                <w:sz w:val="21"/>
                <w:szCs w:val="21"/>
              </w:rPr>
            </w:pPr>
          </w:p>
        </w:tc>
        <w:tc>
          <w:tcPr>
            <w:tcW w:w="3118" w:type="dxa"/>
          </w:tcPr>
          <w:p w14:paraId="486D578B" w14:textId="6F88C8DB" w:rsidR="00D00A0D" w:rsidRPr="00E0419F" w:rsidRDefault="00D00A0D" w:rsidP="00465000">
            <w:pPr>
              <w:rPr>
                <w:rFonts w:cs="Arial"/>
                <w:sz w:val="21"/>
                <w:szCs w:val="21"/>
              </w:rPr>
            </w:pPr>
            <w:r w:rsidRPr="00533CF2">
              <w:rPr>
                <w:rFonts w:cs="Arial"/>
                <w:b/>
                <w:sz w:val="21"/>
                <w:szCs w:val="21"/>
              </w:rPr>
              <w:t>Survey Date:</w:t>
            </w:r>
            <w:r w:rsidR="000274A4" w:rsidRPr="00EF006C">
              <w:rPr>
                <w:rFonts w:cs="Arial"/>
                <w:bCs/>
                <w:sz w:val="21"/>
                <w:szCs w:val="21"/>
              </w:rPr>
              <w:t xml:space="preserve"> </w:t>
            </w:r>
            <w:r w:rsidR="009339BF">
              <w:rPr>
                <w:rFonts w:cs="Arial"/>
                <w:bCs/>
                <w:sz w:val="21"/>
                <w:szCs w:val="21"/>
              </w:rPr>
              <w:t>N/A</w:t>
            </w:r>
          </w:p>
        </w:tc>
      </w:tr>
      <w:tr w:rsidR="00D00A0D" w:rsidRPr="00533CF2" w14:paraId="55B24944" w14:textId="77777777" w:rsidTr="00492AB4">
        <w:trPr>
          <w:trHeight w:val="397"/>
        </w:trPr>
        <w:tc>
          <w:tcPr>
            <w:tcW w:w="5495" w:type="dxa"/>
          </w:tcPr>
          <w:p w14:paraId="762FDA8F" w14:textId="2CCF6F12" w:rsidR="00D00A0D" w:rsidRPr="00580661" w:rsidRDefault="00D00A0D" w:rsidP="00E0419F">
            <w:pPr>
              <w:rPr>
                <w:rFonts w:cs="Arial"/>
                <w:sz w:val="21"/>
                <w:szCs w:val="21"/>
              </w:rPr>
            </w:pPr>
            <w:r w:rsidRPr="00533CF2">
              <w:rPr>
                <w:rFonts w:cs="Arial"/>
                <w:b/>
                <w:sz w:val="21"/>
                <w:szCs w:val="21"/>
              </w:rPr>
              <w:t>Place Type:</w:t>
            </w:r>
            <w:r w:rsidR="00EF006C" w:rsidRPr="00EF006C">
              <w:rPr>
                <w:rFonts w:cs="Arial"/>
                <w:bCs/>
                <w:sz w:val="21"/>
                <w:szCs w:val="21"/>
              </w:rPr>
              <w:t xml:space="preserve"> </w:t>
            </w:r>
            <w:r w:rsidR="003A42FC">
              <w:rPr>
                <w:rFonts w:cs="Arial"/>
                <w:bCs/>
                <w:sz w:val="21"/>
                <w:szCs w:val="21"/>
              </w:rPr>
              <w:t>Individual place</w:t>
            </w:r>
          </w:p>
        </w:tc>
        <w:tc>
          <w:tcPr>
            <w:tcW w:w="3118" w:type="dxa"/>
          </w:tcPr>
          <w:p w14:paraId="24E08DF2" w14:textId="428F00A6" w:rsidR="00D00A0D" w:rsidRPr="00E0419F" w:rsidRDefault="00D00A0D" w:rsidP="00465000">
            <w:pPr>
              <w:rPr>
                <w:rFonts w:cs="Arial"/>
                <w:sz w:val="21"/>
                <w:szCs w:val="21"/>
              </w:rPr>
            </w:pPr>
            <w:r w:rsidRPr="00533CF2">
              <w:rPr>
                <w:rFonts w:cs="Arial"/>
                <w:b/>
                <w:sz w:val="21"/>
                <w:szCs w:val="21"/>
              </w:rPr>
              <w:t>Architect:</w:t>
            </w:r>
            <w:r w:rsidR="000274A4" w:rsidRPr="00EF006C">
              <w:rPr>
                <w:rFonts w:cs="Arial"/>
                <w:bCs/>
                <w:sz w:val="21"/>
                <w:szCs w:val="21"/>
              </w:rPr>
              <w:t xml:space="preserve"> </w:t>
            </w:r>
            <w:r w:rsidR="009339BF">
              <w:rPr>
                <w:rFonts w:cs="Arial"/>
                <w:bCs/>
                <w:sz w:val="21"/>
                <w:szCs w:val="21"/>
              </w:rPr>
              <w:t xml:space="preserve">Unknown </w:t>
            </w:r>
          </w:p>
        </w:tc>
      </w:tr>
      <w:tr w:rsidR="00D00A0D" w:rsidRPr="00533CF2" w14:paraId="11DA50E0" w14:textId="77777777" w:rsidTr="00492AB4">
        <w:trPr>
          <w:trHeight w:val="397"/>
        </w:trPr>
        <w:tc>
          <w:tcPr>
            <w:tcW w:w="5495" w:type="dxa"/>
          </w:tcPr>
          <w:p w14:paraId="33B19311" w14:textId="6E7DE6F5" w:rsidR="00D00A0D" w:rsidRPr="00580661" w:rsidRDefault="00D00A0D" w:rsidP="00E0419F">
            <w:pPr>
              <w:rPr>
                <w:rFonts w:cs="Arial"/>
                <w:sz w:val="21"/>
                <w:szCs w:val="21"/>
              </w:rPr>
            </w:pPr>
            <w:r w:rsidRPr="00533CF2">
              <w:rPr>
                <w:rFonts w:cs="Arial"/>
                <w:b/>
                <w:sz w:val="21"/>
                <w:szCs w:val="21"/>
              </w:rPr>
              <w:t>Grading:</w:t>
            </w:r>
            <w:r w:rsidR="000274A4" w:rsidRPr="00EF006C">
              <w:rPr>
                <w:rFonts w:cs="Arial"/>
                <w:bCs/>
                <w:sz w:val="21"/>
                <w:szCs w:val="21"/>
              </w:rPr>
              <w:t xml:space="preserve"> </w:t>
            </w:r>
          </w:p>
        </w:tc>
        <w:tc>
          <w:tcPr>
            <w:tcW w:w="3118" w:type="dxa"/>
          </w:tcPr>
          <w:p w14:paraId="3E63B317" w14:textId="2238927E" w:rsidR="00D00A0D" w:rsidRPr="00533CF2" w:rsidRDefault="00D00A0D" w:rsidP="00014192">
            <w:pPr>
              <w:rPr>
                <w:rFonts w:cs="Arial"/>
                <w:b/>
                <w:sz w:val="21"/>
                <w:szCs w:val="21"/>
              </w:rPr>
            </w:pPr>
            <w:r w:rsidRPr="00533CF2">
              <w:rPr>
                <w:rFonts w:cs="Arial"/>
                <w:b/>
                <w:sz w:val="21"/>
                <w:szCs w:val="21"/>
              </w:rPr>
              <w:t>Builder:</w:t>
            </w:r>
            <w:r w:rsidR="000274A4" w:rsidRPr="00EF006C">
              <w:rPr>
                <w:rFonts w:cs="Arial"/>
                <w:bCs/>
                <w:sz w:val="21"/>
                <w:szCs w:val="21"/>
              </w:rPr>
              <w:t xml:space="preserve"> </w:t>
            </w:r>
            <w:r w:rsidR="009339BF">
              <w:rPr>
                <w:rFonts w:cs="Arial"/>
                <w:bCs/>
                <w:sz w:val="21"/>
                <w:szCs w:val="21"/>
              </w:rPr>
              <w:t xml:space="preserve">Unknown </w:t>
            </w:r>
          </w:p>
        </w:tc>
      </w:tr>
      <w:tr w:rsidR="00D00A0D" w:rsidRPr="00533CF2" w14:paraId="44683571" w14:textId="77777777" w:rsidTr="00492AB4">
        <w:trPr>
          <w:trHeight w:val="397"/>
        </w:trPr>
        <w:tc>
          <w:tcPr>
            <w:tcW w:w="5495" w:type="dxa"/>
          </w:tcPr>
          <w:p w14:paraId="7F5D5AD7" w14:textId="26050CE8" w:rsidR="00D00A0D" w:rsidRPr="00533CF2" w:rsidRDefault="00D00A0D" w:rsidP="0053253F">
            <w:pPr>
              <w:rPr>
                <w:rFonts w:cs="Arial"/>
                <w:b/>
                <w:sz w:val="21"/>
                <w:szCs w:val="21"/>
              </w:rPr>
            </w:pPr>
            <w:r w:rsidRPr="00533CF2">
              <w:rPr>
                <w:rFonts w:cs="Arial"/>
                <w:b/>
                <w:sz w:val="21"/>
                <w:szCs w:val="21"/>
              </w:rPr>
              <w:t>Extent of Overlay:</w:t>
            </w:r>
            <w:r w:rsidR="000274A4" w:rsidRPr="00EF006C">
              <w:rPr>
                <w:rFonts w:cs="Arial"/>
                <w:bCs/>
                <w:sz w:val="21"/>
                <w:szCs w:val="21"/>
              </w:rPr>
              <w:t xml:space="preserve"> </w:t>
            </w:r>
          </w:p>
        </w:tc>
        <w:tc>
          <w:tcPr>
            <w:tcW w:w="3118" w:type="dxa"/>
          </w:tcPr>
          <w:p w14:paraId="3B72F686" w14:textId="7E0197EF" w:rsidR="00D00A0D" w:rsidRPr="00E0419F" w:rsidRDefault="00D00A0D" w:rsidP="00465000">
            <w:pPr>
              <w:rPr>
                <w:rFonts w:cs="Arial"/>
                <w:sz w:val="21"/>
                <w:szCs w:val="21"/>
              </w:rPr>
            </w:pPr>
            <w:r w:rsidRPr="00533CF2">
              <w:rPr>
                <w:rFonts w:cs="Arial"/>
                <w:b/>
                <w:sz w:val="21"/>
                <w:szCs w:val="21"/>
              </w:rPr>
              <w:t>Construction Date:</w:t>
            </w:r>
            <w:r w:rsidR="000274A4" w:rsidRPr="00EF006C">
              <w:rPr>
                <w:rFonts w:cs="Arial"/>
                <w:bCs/>
                <w:sz w:val="21"/>
                <w:szCs w:val="21"/>
              </w:rPr>
              <w:t xml:space="preserve"> </w:t>
            </w:r>
            <w:r w:rsidR="00242B3A">
              <w:rPr>
                <w:rFonts w:cs="Arial"/>
                <w:bCs/>
                <w:sz w:val="21"/>
                <w:szCs w:val="21"/>
              </w:rPr>
              <w:t>c18</w:t>
            </w:r>
            <w:r w:rsidR="0030790E">
              <w:rPr>
                <w:rFonts w:cs="Arial"/>
                <w:bCs/>
                <w:sz w:val="21"/>
                <w:szCs w:val="21"/>
              </w:rPr>
              <w:t>70s</w:t>
            </w:r>
          </w:p>
        </w:tc>
      </w:tr>
    </w:tbl>
    <w:p w14:paraId="0FBA6BFB" w14:textId="463A42EC" w:rsidR="00F0333B" w:rsidRPr="00533CF2" w:rsidRDefault="00F0333B" w:rsidP="0053253F">
      <w:pPr>
        <w:rPr>
          <w:rFonts w:cs="Arial"/>
          <w:sz w:val="21"/>
          <w:szCs w:val="21"/>
        </w:rPr>
      </w:pPr>
    </w:p>
    <w:p w14:paraId="4A4C97BD" w14:textId="1CABD698" w:rsidR="008726F4" w:rsidRPr="00D355A0" w:rsidRDefault="00022321" w:rsidP="00014192">
      <w:pPr>
        <w:rPr>
          <w:rFonts w:cs="Arial"/>
          <w:sz w:val="21"/>
          <w:szCs w:val="21"/>
        </w:rPr>
      </w:pPr>
      <w:bookmarkStart w:id="0" w:name="_GoBack"/>
      <w:bookmarkEnd w:id="0"/>
      <w:r>
        <w:rPr>
          <w:rFonts w:cs="Arial"/>
          <w:noProof/>
          <w:sz w:val="18"/>
          <w:szCs w:val="18"/>
          <w:lang w:eastAsia="en-AU"/>
        </w:rPr>
        <w:drawing>
          <wp:anchor distT="0" distB="0" distL="114300" distR="114300" simplePos="0" relativeHeight="251659267" behindDoc="0" locked="0" layoutInCell="1" allowOverlap="1" wp14:anchorId="2E226B53" wp14:editId="57A3CDBE">
            <wp:simplePos x="0" y="0"/>
            <wp:positionH relativeFrom="column">
              <wp:posOffset>3175</wp:posOffset>
            </wp:positionH>
            <wp:positionV relativeFrom="paragraph">
              <wp:posOffset>154940</wp:posOffset>
            </wp:positionV>
            <wp:extent cx="5459095" cy="2779395"/>
            <wp:effectExtent l="0" t="0" r="8255" b="1905"/>
            <wp:wrapSquare wrapText="bothSides"/>
            <wp:docPr id="2" name="Picture 2" descr="A high angle view of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high angle view of a road&#10;&#10;Description automatically generated with low confidence"/>
                    <pic:cNvPicPr/>
                  </pic:nvPicPr>
                  <pic:blipFill rotWithShape="1">
                    <a:blip r:embed="rId11" cstate="print">
                      <a:extLst>
                        <a:ext uri="{28A0092B-C50C-407E-A947-70E740481C1C}">
                          <a14:useLocalDpi xmlns:a14="http://schemas.microsoft.com/office/drawing/2010/main" val="0"/>
                        </a:ext>
                      </a:extLst>
                    </a:blip>
                    <a:srcRect l="23508" t="-1064" r="-385" b="29312"/>
                    <a:stretch/>
                  </pic:blipFill>
                  <pic:spPr bwMode="auto">
                    <a:xfrm>
                      <a:off x="0" y="0"/>
                      <a:ext cx="5459095" cy="2779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1E40C80" w14:textId="4F1CBDD8" w:rsidR="003D39C2" w:rsidRDefault="008726F4" w:rsidP="008726F4">
      <w:pPr>
        <w:jc w:val="left"/>
        <w:rPr>
          <w:rFonts w:cs="Arial"/>
          <w:sz w:val="18"/>
          <w:szCs w:val="18"/>
        </w:rPr>
      </w:pPr>
      <w:r>
        <w:rPr>
          <w:rFonts w:cs="Arial"/>
          <w:sz w:val="18"/>
          <w:szCs w:val="18"/>
        </w:rPr>
        <w:t>Image Source: Nearmap February 2022.</w:t>
      </w:r>
      <w:r w:rsidR="006B3B8D">
        <w:rPr>
          <w:rFonts w:cs="Arial"/>
          <w:sz w:val="18"/>
          <w:szCs w:val="18"/>
        </w:rPr>
        <w:br w:type="textWrapping" w:clear="all"/>
      </w:r>
    </w:p>
    <w:p w14:paraId="64C062D7" w14:textId="77777777" w:rsidR="003D39C2" w:rsidRPr="003D39C2" w:rsidRDefault="003D39C2" w:rsidP="00014192">
      <w:pPr>
        <w:rPr>
          <w:rFonts w:cs="Arial"/>
          <w:sz w:val="18"/>
          <w:szCs w:val="18"/>
        </w:rPr>
      </w:pPr>
    </w:p>
    <w:p w14:paraId="439CB1DD" w14:textId="77777777" w:rsidR="00014192" w:rsidRPr="00533CF2" w:rsidRDefault="00014192" w:rsidP="00014192">
      <w:pPr>
        <w:rPr>
          <w:rFonts w:cs="Arial"/>
          <w:b/>
          <w:sz w:val="21"/>
          <w:szCs w:val="21"/>
        </w:rPr>
      </w:pPr>
      <w:r w:rsidRPr="00533CF2">
        <w:rPr>
          <w:rFonts w:cs="Arial"/>
          <w:b/>
          <w:sz w:val="21"/>
          <w:szCs w:val="21"/>
        </w:rPr>
        <w:t>Historical Context</w:t>
      </w:r>
    </w:p>
    <w:p w14:paraId="4A9ACAFC" w14:textId="60A85E51" w:rsidR="005616E9" w:rsidRPr="008726F4" w:rsidRDefault="005616E9" w:rsidP="005616E9">
      <w:pPr>
        <w:rPr>
          <w:rFonts w:cs="Arial"/>
          <w:i/>
          <w:iCs/>
          <w:sz w:val="21"/>
          <w:szCs w:val="21"/>
        </w:rPr>
      </w:pPr>
    </w:p>
    <w:p w14:paraId="2F6A0E86" w14:textId="6689E0DA" w:rsidR="005616E9" w:rsidRPr="005616E9" w:rsidRDefault="005616E9" w:rsidP="005616E9">
      <w:pPr>
        <w:rPr>
          <w:rFonts w:cs="Arial"/>
          <w:sz w:val="21"/>
          <w:szCs w:val="21"/>
        </w:rPr>
      </w:pPr>
      <w:r w:rsidRPr="005616E9">
        <w:rPr>
          <w:rFonts w:cs="Arial"/>
          <w:sz w:val="21"/>
          <w:szCs w:val="21"/>
        </w:rPr>
        <w:t xml:space="preserve">The first squatters arrived in the area, which would become known as Christmas Hills in the late 1830s. The </w:t>
      </w:r>
      <w:r w:rsidR="00F44E57" w:rsidRPr="005616E9">
        <w:rPr>
          <w:rFonts w:cs="Arial"/>
          <w:sz w:val="21"/>
          <w:szCs w:val="21"/>
        </w:rPr>
        <w:t>Ryrie’s</w:t>
      </w:r>
      <w:r w:rsidRPr="005616E9">
        <w:rPr>
          <w:rFonts w:cs="Arial"/>
          <w:sz w:val="21"/>
          <w:szCs w:val="21"/>
        </w:rPr>
        <w:t xml:space="preserve"> established their station near where Chateau Yering now stands. John Gardiner and David Fletcher set up downstream of the </w:t>
      </w:r>
      <w:r w:rsidR="00F44E57" w:rsidRPr="005616E9">
        <w:rPr>
          <w:rFonts w:cs="Arial"/>
          <w:sz w:val="21"/>
          <w:szCs w:val="21"/>
        </w:rPr>
        <w:t>Ryrie’s</w:t>
      </w:r>
      <w:r w:rsidRPr="005616E9">
        <w:rPr>
          <w:rFonts w:cs="Arial"/>
          <w:sz w:val="21"/>
          <w:szCs w:val="21"/>
        </w:rPr>
        <w:t xml:space="preserve"> at Moorool Bark station (Woiwod 2010</w:t>
      </w:r>
      <w:r w:rsidR="00D032B9">
        <w:rPr>
          <w:rFonts w:cs="Arial"/>
          <w:sz w:val="21"/>
          <w:szCs w:val="21"/>
        </w:rPr>
        <w:t>:</w:t>
      </w:r>
      <w:r w:rsidRPr="005616E9">
        <w:rPr>
          <w:rFonts w:cs="Arial"/>
          <w:sz w:val="21"/>
          <w:szCs w:val="21"/>
        </w:rPr>
        <w:t>35-36). The pattern of squatting north of the Yarra from c1840 is more difficult to establish, with historians of the squatting era giving conflicting details. Billis and Kenyon have James Watson in occupation of the Stringybark run located in the country between the Yarra, Watsons Creek and the Nillumbik station, in 1840. Watson had numerous runs elsewhere in Port Phillip and local historian Mick Woiwod concludes that Watson never actually lived on the Stringybark run (Woiwod 2010</w:t>
      </w:r>
      <w:r w:rsidR="00D032B9">
        <w:rPr>
          <w:rFonts w:cs="Arial"/>
          <w:sz w:val="21"/>
          <w:szCs w:val="21"/>
        </w:rPr>
        <w:t>:</w:t>
      </w:r>
      <w:r w:rsidRPr="005616E9">
        <w:rPr>
          <w:rFonts w:cs="Arial"/>
          <w:sz w:val="21"/>
          <w:szCs w:val="21"/>
        </w:rPr>
        <w:t>36-7, 40-41).</w:t>
      </w:r>
    </w:p>
    <w:p w14:paraId="12BBF084" w14:textId="77777777" w:rsidR="005616E9" w:rsidRPr="005616E9" w:rsidRDefault="005616E9" w:rsidP="005616E9">
      <w:pPr>
        <w:rPr>
          <w:rFonts w:cs="Arial"/>
          <w:sz w:val="21"/>
          <w:szCs w:val="21"/>
        </w:rPr>
      </w:pPr>
    </w:p>
    <w:p w14:paraId="4F06B685" w14:textId="193338E4" w:rsidR="005616E9" w:rsidRPr="005616E9" w:rsidRDefault="005616E9" w:rsidP="005616E9">
      <w:pPr>
        <w:rPr>
          <w:rFonts w:cs="Arial"/>
          <w:sz w:val="21"/>
          <w:szCs w:val="21"/>
        </w:rPr>
      </w:pPr>
      <w:r w:rsidRPr="005616E9">
        <w:rPr>
          <w:rFonts w:cs="Arial"/>
          <w:sz w:val="21"/>
          <w:szCs w:val="21"/>
        </w:rPr>
        <w:t xml:space="preserve">Joseph Stevenson had established a run on the Diamond Creek by 1841. From 1842-45 he also occupied the 9,600-acre run to the north of the Watsons Creek and Yering Stations, which became the Christmas Hill station. Stevenson, like James McPherson who would arrive in the Christmas Hills area ten years later, was a working-class Scottish migrant, a carpenter, in contrast to first wave of squatters generally in the colony, and many of the </w:t>
      </w:r>
      <w:r w:rsidRPr="005616E9">
        <w:rPr>
          <w:rFonts w:cs="Arial"/>
          <w:sz w:val="21"/>
          <w:szCs w:val="21"/>
        </w:rPr>
        <w:lastRenderedPageBreak/>
        <w:t>other contemporary squatters in the district such as Ryrie and Watson (Woiwod 2010</w:t>
      </w:r>
      <w:r w:rsidR="00D032B9">
        <w:rPr>
          <w:rFonts w:cs="Arial"/>
          <w:sz w:val="21"/>
          <w:szCs w:val="21"/>
        </w:rPr>
        <w:t>:</w:t>
      </w:r>
      <w:r w:rsidRPr="005616E9">
        <w:rPr>
          <w:rFonts w:cs="Arial"/>
          <w:sz w:val="21"/>
          <w:szCs w:val="21"/>
        </w:rPr>
        <w:t>42-43, 52).</w:t>
      </w:r>
    </w:p>
    <w:p w14:paraId="4F94D97E" w14:textId="77777777" w:rsidR="005616E9" w:rsidRPr="005616E9" w:rsidRDefault="005616E9" w:rsidP="005616E9">
      <w:pPr>
        <w:rPr>
          <w:rFonts w:cs="Arial"/>
          <w:sz w:val="21"/>
          <w:szCs w:val="21"/>
        </w:rPr>
      </w:pPr>
    </w:p>
    <w:p w14:paraId="46208EE3" w14:textId="75769DB8" w:rsidR="005616E9" w:rsidRPr="005616E9" w:rsidRDefault="005616E9" w:rsidP="005616E9">
      <w:pPr>
        <w:rPr>
          <w:rFonts w:cs="Arial"/>
          <w:sz w:val="21"/>
          <w:szCs w:val="21"/>
        </w:rPr>
      </w:pPr>
      <w:r w:rsidRPr="005616E9">
        <w:rPr>
          <w:rFonts w:cs="Arial"/>
          <w:sz w:val="21"/>
          <w:szCs w:val="21"/>
        </w:rPr>
        <w:t xml:space="preserve">The squatting runs in this area close to Melbourne were much smaller </w:t>
      </w:r>
      <w:r w:rsidR="00F44E57" w:rsidRPr="005616E9">
        <w:rPr>
          <w:rFonts w:cs="Arial"/>
          <w:sz w:val="21"/>
          <w:szCs w:val="21"/>
        </w:rPr>
        <w:t>than</w:t>
      </w:r>
      <w:r w:rsidRPr="005616E9">
        <w:rPr>
          <w:rFonts w:cs="Arial"/>
          <w:sz w:val="21"/>
          <w:szCs w:val="21"/>
        </w:rPr>
        <w:t xml:space="preserve"> the more typical runs to the west of the Port Phillip district which frequently exceeded 100,000 acres. Woiwod suggests that typically cattle were grazed here because the runs were much closer to the Melbourne markets. Leaseholders of runs located in the settled districts of Port Phillip were not permitted to grow commercial crops (Woiwod 2010</w:t>
      </w:r>
      <w:r w:rsidR="00D032B9">
        <w:rPr>
          <w:rFonts w:cs="Arial"/>
          <w:sz w:val="21"/>
          <w:szCs w:val="21"/>
        </w:rPr>
        <w:t>:</w:t>
      </w:r>
      <w:r w:rsidRPr="005616E9">
        <w:rPr>
          <w:rFonts w:cs="Arial"/>
          <w:sz w:val="21"/>
          <w:szCs w:val="21"/>
        </w:rPr>
        <w:t>38, 51-52).</w:t>
      </w:r>
      <w:r w:rsidR="001233E7">
        <w:rPr>
          <w:rFonts w:cs="Arial"/>
          <w:sz w:val="21"/>
          <w:szCs w:val="21"/>
        </w:rPr>
        <w:t xml:space="preserve"> Notable </w:t>
      </w:r>
      <w:r w:rsidR="0035300D">
        <w:rPr>
          <w:rFonts w:cs="Arial"/>
          <w:sz w:val="21"/>
          <w:szCs w:val="21"/>
        </w:rPr>
        <w:t>pastoral runs</w:t>
      </w:r>
      <w:r w:rsidR="00C26A4E">
        <w:rPr>
          <w:rFonts w:cs="Arial"/>
          <w:sz w:val="21"/>
          <w:szCs w:val="21"/>
        </w:rPr>
        <w:t xml:space="preserve"> in the 1840s and 50s included </w:t>
      </w:r>
      <w:r w:rsidR="0035300D">
        <w:rPr>
          <w:rFonts w:cs="Arial"/>
          <w:sz w:val="21"/>
          <w:szCs w:val="21"/>
        </w:rPr>
        <w:t xml:space="preserve">those of </w:t>
      </w:r>
      <w:r w:rsidR="00C26A4E">
        <w:rPr>
          <w:rFonts w:cs="Arial"/>
          <w:sz w:val="21"/>
          <w:szCs w:val="21"/>
        </w:rPr>
        <w:t>Hugh Glass</w:t>
      </w:r>
      <w:r w:rsidR="001861E9">
        <w:rPr>
          <w:rFonts w:cs="Arial"/>
          <w:sz w:val="21"/>
          <w:szCs w:val="21"/>
        </w:rPr>
        <w:t xml:space="preserve"> </w:t>
      </w:r>
      <w:r w:rsidR="001541D7">
        <w:rPr>
          <w:rFonts w:cs="Arial"/>
          <w:sz w:val="21"/>
          <w:szCs w:val="21"/>
        </w:rPr>
        <w:t>(Spreadborough &amp; Anderson 1983:265)</w:t>
      </w:r>
      <w:r w:rsidR="005571E4">
        <w:rPr>
          <w:rFonts w:cs="Arial"/>
          <w:sz w:val="21"/>
          <w:szCs w:val="21"/>
        </w:rPr>
        <w:t xml:space="preserve"> and </w:t>
      </w:r>
      <w:r w:rsidR="0035300D">
        <w:rPr>
          <w:rFonts w:cs="Arial"/>
          <w:sz w:val="21"/>
          <w:szCs w:val="21"/>
        </w:rPr>
        <w:t xml:space="preserve">of Hugh Glass and </w:t>
      </w:r>
      <w:r w:rsidR="005571E4">
        <w:rPr>
          <w:rFonts w:cs="Arial"/>
          <w:sz w:val="21"/>
          <w:szCs w:val="21"/>
        </w:rPr>
        <w:t>James Murray</w:t>
      </w:r>
      <w:r w:rsidR="001861E9">
        <w:rPr>
          <w:rFonts w:cs="Arial"/>
          <w:sz w:val="21"/>
          <w:szCs w:val="21"/>
        </w:rPr>
        <w:t xml:space="preserve"> (Woiwod 2010:61)</w:t>
      </w:r>
      <w:r w:rsidR="00AD4D7C">
        <w:rPr>
          <w:rFonts w:cs="Arial"/>
          <w:sz w:val="21"/>
          <w:szCs w:val="21"/>
        </w:rPr>
        <w:t>.</w:t>
      </w:r>
      <w:r w:rsidR="0035300D">
        <w:rPr>
          <w:rFonts w:cs="Arial"/>
          <w:sz w:val="21"/>
          <w:szCs w:val="21"/>
        </w:rPr>
        <w:t xml:space="preserve"> The extent of their respective runs remain</w:t>
      </w:r>
      <w:r w:rsidR="00024378">
        <w:rPr>
          <w:rFonts w:cs="Arial"/>
          <w:sz w:val="21"/>
          <w:szCs w:val="21"/>
        </w:rPr>
        <w:t>s</w:t>
      </w:r>
      <w:r w:rsidR="0035300D">
        <w:rPr>
          <w:rFonts w:cs="Arial"/>
          <w:sz w:val="21"/>
          <w:szCs w:val="21"/>
        </w:rPr>
        <w:t xml:space="preserve"> uncertain. </w:t>
      </w:r>
      <w:r w:rsidRPr="005616E9">
        <w:rPr>
          <w:rFonts w:cs="Arial"/>
          <w:sz w:val="21"/>
          <w:szCs w:val="21"/>
        </w:rPr>
        <w:t>Woiwod was unable to find documentation of an exact location of the Glass/Murray station buildings on the Watsons Creek run. Murray was known to have occupied land north of the Yarra and east of Watsons Creek, and the bridge over Watsons Creek is named Murrays Bridge on old maps. Woiwod concluded that because most of the run was unsuitable for pastoralism, Murray’s station buildings were likely to have been in the position of the later station buildings of the McPhersons (Woiwod 2010</w:t>
      </w:r>
      <w:r w:rsidR="00926AA5">
        <w:rPr>
          <w:rFonts w:cs="Arial"/>
          <w:sz w:val="21"/>
          <w:szCs w:val="21"/>
        </w:rPr>
        <w:t>:</w:t>
      </w:r>
      <w:r w:rsidRPr="005616E9">
        <w:rPr>
          <w:rFonts w:cs="Arial"/>
          <w:sz w:val="21"/>
          <w:szCs w:val="21"/>
        </w:rPr>
        <w:t>36).</w:t>
      </w:r>
    </w:p>
    <w:p w14:paraId="1605F8EB" w14:textId="503F8A12" w:rsidR="00643D69" w:rsidRDefault="00643D69" w:rsidP="50767ADB">
      <w:pPr>
        <w:rPr>
          <w:rFonts w:cs="Arial"/>
          <w:b/>
          <w:bCs/>
          <w:sz w:val="21"/>
          <w:szCs w:val="21"/>
        </w:rPr>
      </w:pPr>
    </w:p>
    <w:p w14:paraId="36A12498" w14:textId="77777777" w:rsidR="00D77D92" w:rsidRPr="00992175" w:rsidRDefault="00D77D92" w:rsidP="00D77D92">
      <w:pPr>
        <w:rPr>
          <w:rFonts w:cs="Arial"/>
          <w:sz w:val="21"/>
          <w:szCs w:val="21"/>
        </w:rPr>
      </w:pPr>
      <w:r w:rsidRPr="00992175">
        <w:rPr>
          <w:rFonts w:cs="Arial"/>
          <w:sz w:val="21"/>
          <w:szCs w:val="21"/>
        </w:rPr>
        <w:t>In 1958 there was a severance poll and part of Christmas Hills which had been in the Shire of Eltham was taken</w:t>
      </w:r>
      <w:r>
        <w:rPr>
          <w:rFonts w:cs="Arial"/>
          <w:sz w:val="21"/>
          <w:szCs w:val="21"/>
        </w:rPr>
        <w:t xml:space="preserve"> </w:t>
      </w:r>
      <w:r w:rsidRPr="00992175">
        <w:rPr>
          <w:rFonts w:cs="Arial"/>
          <w:sz w:val="21"/>
          <w:szCs w:val="21"/>
        </w:rPr>
        <w:t>over by the Shire of Healesville. The new boundary followed Watsons Creek. This was effectively reversed in the 1994 local government amalgamations when the boundary was moved to the Yarra River and the subject site became part of the new Shire of Nillumbik.</w:t>
      </w:r>
    </w:p>
    <w:p w14:paraId="72719C00" w14:textId="77777777" w:rsidR="001612CB" w:rsidRPr="00533CF2" w:rsidRDefault="001612CB" w:rsidP="0053253F">
      <w:pPr>
        <w:rPr>
          <w:rFonts w:cs="Arial"/>
          <w:b/>
          <w:sz w:val="21"/>
          <w:szCs w:val="21"/>
        </w:rPr>
      </w:pPr>
    </w:p>
    <w:p w14:paraId="0F4D836C" w14:textId="77777777" w:rsidR="00F0333B" w:rsidRPr="00533CF2" w:rsidRDefault="00F0333B" w:rsidP="0053253F">
      <w:pPr>
        <w:rPr>
          <w:rFonts w:cs="Arial"/>
          <w:b/>
          <w:sz w:val="21"/>
          <w:szCs w:val="21"/>
        </w:rPr>
      </w:pPr>
      <w:r w:rsidRPr="00533CF2">
        <w:rPr>
          <w:rFonts w:cs="Arial"/>
          <w:b/>
          <w:sz w:val="21"/>
          <w:szCs w:val="21"/>
        </w:rPr>
        <w:t>History</w:t>
      </w:r>
    </w:p>
    <w:p w14:paraId="2BB781A7" w14:textId="29D1FA0E" w:rsidR="00B435E4" w:rsidRDefault="00B435E4" w:rsidP="00335ECB">
      <w:pPr>
        <w:rPr>
          <w:rFonts w:cs="Arial"/>
          <w:sz w:val="21"/>
          <w:szCs w:val="21"/>
        </w:rPr>
      </w:pPr>
    </w:p>
    <w:p w14:paraId="1FAA6D75" w14:textId="77777777" w:rsidR="00992175" w:rsidRPr="008726F4" w:rsidRDefault="00992175" w:rsidP="00992175">
      <w:pPr>
        <w:rPr>
          <w:rFonts w:cs="Arial"/>
          <w:i/>
          <w:iCs/>
          <w:sz w:val="21"/>
          <w:szCs w:val="21"/>
        </w:rPr>
      </w:pPr>
      <w:r w:rsidRPr="008726F4">
        <w:rPr>
          <w:rFonts w:cs="Arial"/>
          <w:i/>
          <w:iCs/>
          <w:sz w:val="21"/>
          <w:szCs w:val="21"/>
        </w:rPr>
        <w:t>McPherson’s Station – ‘Yarra Glen’</w:t>
      </w:r>
    </w:p>
    <w:p w14:paraId="6835EEE7" w14:textId="5861AB14" w:rsidR="00992175" w:rsidRPr="00992175" w:rsidRDefault="00992175" w:rsidP="00992175">
      <w:pPr>
        <w:rPr>
          <w:rFonts w:cs="Arial"/>
          <w:sz w:val="21"/>
          <w:szCs w:val="21"/>
        </w:rPr>
      </w:pPr>
      <w:r w:rsidRPr="00992175">
        <w:rPr>
          <w:rFonts w:cs="Arial"/>
          <w:sz w:val="21"/>
          <w:szCs w:val="21"/>
        </w:rPr>
        <w:t xml:space="preserve">The next occupiers of the Watsons Creek run were the McPherson family in </w:t>
      </w:r>
      <w:r w:rsidR="00D4221F">
        <w:rPr>
          <w:rFonts w:cs="Arial"/>
          <w:sz w:val="21"/>
          <w:szCs w:val="21"/>
        </w:rPr>
        <w:t>the early 1850s</w:t>
      </w:r>
      <w:r w:rsidRPr="00992175">
        <w:rPr>
          <w:rFonts w:cs="Arial"/>
          <w:sz w:val="21"/>
          <w:szCs w:val="21"/>
        </w:rPr>
        <w:t>. James and Janet (McKenzie) McPherson arrived in Sydney in 1838.</w:t>
      </w:r>
      <w:r w:rsidR="004710D3">
        <w:rPr>
          <w:rFonts w:cs="Arial"/>
          <w:sz w:val="21"/>
          <w:szCs w:val="21"/>
        </w:rPr>
        <w:t xml:space="preserve"> The couple were from</w:t>
      </w:r>
      <w:r w:rsidRPr="00992175">
        <w:rPr>
          <w:rFonts w:cs="Arial"/>
          <w:sz w:val="21"/>
          <w:szCs w:val="21"/>
        </w:rPr>
        <w:t xml:space="preserve"> Kingussie, Scotland.</w:t>
      </w:r>
      <w:r w:rsidR="004710D3">
        <w:rPr>
          <w:rFonts w:cs="Arial"/>
          <w:sz w:val="21"/>
          <w:szCs w:val="21"/>
        </w:rPr>
        <w:t xml:space="preserve"> Prior to coming to Watsons Creek,</w:t>
      </w:r>
      <w:r w:rsidRPr="00992175">
        <w:rPr>
          <w:rFonts w:cs="Arial"/>
          <w:sz w:val="21"/>
          <w:szCs w:val="21"/>
        </w:rPr>
        <w:t xml:space="preserve"> </w:t>
      </w:r>
      <w:r w:rsidR="004710D3">
        <w:rPr>
          <w:rFonts w:cs="Arial"/>
          <w:sz w:val="21"/>
          <w:szCs w:val="21"/>
        </w:rPr>
        <w:t>the McPhersons spent</w:t>
      </w:r>
      <w:r w:rsidRPr="00992175">
        <w:rPr>
          <w:rFonts w:cs="Arial"/>
          <w:sz w:val="21"/>
          <w:szCs w:val="21"/>
        </w:rPr>
        <w:t xml:space="preserve"> six months in Sydney</w:t>
      </w:r>
      <w:r w:rsidR="004710D3">
        <w:rPr>
          <w:rFonts w:cs="Arial"/>
          <w:sz w:val="21"/>
          <w:szCs w:val="21"/>
        </w:rPr>
        <w:t xml:space="preserve"> then </w:t>
      </w:r>
      <w:r w:rsidR="00346052">
        <w:rPr>
          <w:rFonts w:cs="Arial"/>
          <w:sz w:val="21"/>
          <w:szCs w:val="21"/>
        </w:rPr>
        <w:t>to</w:t>
      </w:r>
      <w:r w:rsidRPr="00992175">
        <w:rPr>
          <w:rFonts w:cs="Arial"/>
          <w:sz w:val="21"/>
          <w:szCs w:val="21"/>
        </w:rPr>
        <w:t xml:space="preserve"> Port Phillip where James was soon employed in his trade as a shoemaker (Watson 2006</w:t>
      </w:r>
      <w:r w:rsidR="00D5388D">
        <w:rPr>
          <w:rFonts w:cs="Arial"/>
          <w:sz w:val="21"/>
          <w:szCs w:val="21"/>
        </w:rPr>
        <w:t>:</w:t>
      </w:r>
      <w:r w:rsidRPr="00992175">
        <w:rPr>
          <w:rFonts w:cs="Arial"/>
          <w:sz w:val="21"/>
          <w:szCs w:val="21"/>
        </w:rPr>
        <w:t>1-2). The</w:t>
      </w:r>
      <w:r w:rsidR="003171A9">
        <w:rPr>
          <w:rFonts w:cs="Arial"/>
          <w:sz w:val="21"/>
          <w:szCs w:val="21"/>
        </w:rPr>
        <w:t>y moved</w:t>
      </w:r>
      <w:r w:rsidRPr="00992175">
        <w:rPr>
          <w:rFonts w:cs="Arial"/>
          <w:sz w:val="21"/>
          <w:szCs w:val="21"/>
        </w:rPr>
        <w:t xml:space="preserve"> to Campbellfield in 1840/41 (Watson 2006</w:t>
      </w:r>
      <w:r w:rsidR="00D5388D">
        <w:rPr>
          <w:rFonts w:cs="Arial"/>
          <w:sz w:val="21"/>
          <w:szCs w:val="21"/>
        </w:rPr>
        <w:t>:</w:t>
      </w:r>
      <w:r w:rsidRPr="00992175">
        <w:rPr>
          <w:rFonts w:cs="Arial"/>
          <w:sz w:val="21"/>
          <w:szCs w:val="21"/>
        </w:rPr>
        <w:t>6)</w:t>
      </w:r>
      <w:r w:rsidR="003171A9">
        <w:rPr>
          <w:rFonts w:cs="Arial"/>
          <w:sz w:val="21"/>
          <w:szCs w:val="21"/>
        </w:rPr>
        <w:t xml:space="preserve">, then </w:t>
      </w:r>
      <w:r w:rsidRPr="00992175">
        <w:rPr>
          <w:rFonts w:cs="Arial"/>
          <w:sz w:val="21"/>
          <w:szCs w:val="21"/>
        </w:rPr>
        <w:t>to Morang on the Plenty River where they rented a farm (Watson 2006</w:t>
      </w:r>
      <w:r w:rsidR="00D5388D">
        <w:rPr>
          <w:rFonts w:cs="Arial"/>
          <w:sz w:val="21"/>
          <w:szCs w:val="21"/>
        </w:rPr>
        <w:t>:</w:t>
      </w:r>
      <w:r w:rsidRPr="00992175">
        <w:rPr>
          <w:rFonts w:cs="Arial"/>
          <w:sz w:val="21"/>
          <w:szCs w:val="21"/>
        </w:rPr>
        <w:t>7</w:t>
      </w:r>
      <w:r w:rsidR="00C979E9">
        <w:rPr>
          <w:rFonts w:cs="Arial"/>
          <w:sz w:val="21"/>
          <w:szCs w:val="21"/>
        </w:rPr>
        <w:t xml:space="preserve"> &amp;</w:t>
      </w:r>
      <w:r w:rsidRPr="00992175">
        <w:rPr>
          <w:rFonts w:cs="Arial"/>
          <w:sz w:val="21"/>
          <w:szCs w:val="21"/>
        </w:rPr>
        <w:t>10).</w:t>
      </w:r>
    </w:p>
    <w:p w14:paraId="2D86DCDA" w14:textId="77777777" w:rsidR="00992175" w:rsidRPr="00992175" w:rsidRDefault="00992175" w:rsidP="00992175">
      <w:pPr>
        <w:rPr>
          <w:rFonts w:cs="Arial"/>
          <w:sz w:val="21"/>
          <w:szCs w:val="21"/>
        </w:rPr>
      </w:pPr>
    </w:p>
    <w:p w14:paraId="29D352EA" w14:textId="64760793" w:rsidR="00992175" w:rsidRDefault="00992175" w:rsidP="00992175">
      <w:pPr>
        <w:rPr>
          <w:rFonts w:cs="Arial"/>
          <w:sz w:val="21"/>
          <w:szCs w:val="21"/>
        </w:rPr>
      </w:pPr>
      <w:r w:rsidRPr="00992175">
        <w:rPr>
          <w:rFonts w:cs="Arial"/>
          <w:sz w:val="21"/>
          <w:szCs w:val="21"/>
        </w:rPr>
        <w:t>In 1855 James McPherson applied for the grant of a Pre-emptive Right block of 640 acres. The letter was addressed to the Commissioner of Crown Land, c/o Hugh Glass. Glass may have retained some connection to the lease or may have been acting as an agent for McPherson (Woiwod 2010</w:t>
      </w:r>
      <w:r w:rsidR="00512219">
        <w:rPr>
          <w:rFonts w:cs="Arial"/>
          <w:sz w:val="21"/>
          <w:szCs w:val="21"/>
        </w:rPr>
        <w:t>:</w:t>
      </w:r>
      <w:r w:rsidRPr="00992175">
        <w:rPr>
          <w:rFonts w:cs="Arial"/>
          <w:sz w:val="21"/>
          <w:szCs w:val="21"/>
        </w:rPr>
        <w:t>75). The grant was made in 1857</w:t>
      </w:r>
      <w:r w:rsidR="00D91FF7">
        <w:rPr>
          <w:rFonts w:cs="Arial" w:hint="eastAsia"/>
          <w:sz w:val="21"/>
          <w:szCs w:val="21"/>
          <w:lang w:eastAsia="zh-TW"/>
        </w:rPr>
        <w:t xml:space="preserve"> (PROV,</w:t>
      </w:r>
      <w:r w:rsidR="00D91FF7">
        <w:rPr>
          <w:rFonts w:cs="Arial"/>
          <w:sz w:val="21"/>
          <w:szCs w:val="21"/>
          <w:lang w:eastAsia="zh-TW"/>
        </w:rPr>
        <w:t xml:space="preserve"> VPRS16171/P01</w:t>
      </w:r>
      <w:r w:rsidR="00381489">
        <w:rPr>
          <w:rFonts w:cs="Arial"/>
          <w:sz w:val="21"/>
          <w:szCs w:val="21"/>
          <w:lang w:eastAsia="zh-TW"/>
        </w:rPr>
        <w:t xml:space="preserve">/8, Sutton (Psh) LOLmps3513). </w:t>
      </w:r>
      <w:r w:rsidR="00473A8D">
        <w:rPr>
          <w:rFonts w:cs="Arial"/>
          <w:sz w:val="21"/>
          <w:szCs w:val="21"/>
        </w:rPr>
        <w:t>An c</w:t>
      </w:r>
      <w:r w:rsidRPr="00B55912">
        <w:rPr>
          <w:rFonts w:cs="Arial"/>
          <w:sz w:val="21"/>
          <w:szCs w:val="21"/>
        </w:rPr>
        <w:t>1857 plan drawn for the pre-emptive right grant shows three buildings by the river, including one labelled “dwelling house”.</w:t>
      </w:r>
      <w:r w:rsidRPr="00992175">
        <w:rPr>
          <w:rFonts w:cs="Arial"/>
          <w:sz w:val="21"/>
          <w:szCs w:val="21"/>
        </w:rPr>
        <w:t xml:space="preserve"> In 1858 James was cultivating only 5 acres of the 640 acres (RB 1858).</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D4221F" w14:paraId="3B00C0AC" w14:textId="77777777" w:rsidTr="00212BDB">
        <w:tc>
          <w:tcPr>
            <w:tcW w:w="8296" w:type="dxa"/>
          </w:tcPr>
          <w:p w14:paraId="08F50656" w14:textId="1BC6E97E" w:rsidR="00D4221F" w:rsidRDefault="00D4221F" w:rsidP="00992175">
            <w:pPr>
              <w:rPr>
                <w:rFonts w:cs="Arial"/>
                <w:sz w:val="21"/>
                <w:szCs w:val="21"/>
              </w:rPr>
            </w:pPr>
            <w:r>
              <w:rPr>
                <w:noProof/>
                <w:lang w:eastAsia="en-AU"/>
              </w:rPr>
              <w:lastRenderedPageBreak/>
              <w:drawing>
                <wp:inline distT="0" distB="0" distL="0" distR="0" wp14:anchorId="7EF7CD1B" wp14:editId="6E515279">
                  <wp:extent cx="5088636" cy="3274994"/>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1758" t="18205" r="10621" b="16510"/>
                          <a:stretch/>
                        </pic:blipFill>
                        <pic:spPr bwMode="auto">
                          <a:xfrm>
                            <a:off x="0" y="0"/>
                            <a:ext cx="5094828" cy="3278979"/>
                          </a:xfrm>
                          <a:prstGeom prst="rect">
                            <a:avLst/>
                          </a:prstGeom>
                          <a:ln>
                            <a:noFill/>
                          </a:ln>
                          <a:extLst>
                            <a:ext uri="{53640926-AAD7-44D8-BBD7-CCE9431645EC}">
                              <a14:shadowObscured xmlns:a14="http://schemas.microsoft.com/office/drawing/2010/main"/>
                            </a:ext>
                          </a:extLst>
                        </pic:spPr>
                      </pic:pic>
                    </a:graphicData>
                  </a:graphic>
                </wp:inline>
              </w:drawing>
            </w:r>
          </w:p>
        </w:tc>
      </w:tr>
      <w:tr w:rsidR="00D4221F" w14:paraId="5518833F" w14:textId="77777777" w:rsidTr="00212BDB">
        <w:tc>
          <w:tcPr>
            <w:tcW w:w="8296" w:type="dxa"/>
          </w:tcPr>
          <w:p w14:paraId="26EC5F80" w14:textId="766ABBBE" w:rsidR="00D4221F" w:rsidRPr="00807301" w:rsidRDefault="00807301" w:rsidP="00807301">
            <w:pPr>
              <w:pStyle w:val="Caption"/>
              <w:ind w:left="0"/>
              <w:rPr>
                <w:i w:val="0"/>
                <w:iCs/>
                <w:sz w:val="21"/>
                <w:szCs w:val="21"/>
              </w:rPr>
            </w:pPr>
            <w:r w:rsidRPr="00807301">
              <w:rPr>
                <w:i w:val="0"/>
                <w:iCs/>
              </w:rPr>
              <w:t xml:space="preserve">Figure </w:t>
            </w:r>
            <w:r w:rsidRPr="00807301">
              <w:rPr>
                <w:i w:val="0"/>
                <w:iCs/>
              </w:rPr>
              <w:fldChar w:fldCharType="begin"/>
            </w:r>
            <w:r w:rsidRPr="00807301">
              <w:rPr>
                <w:i w:val="0"/>
                <w:iCs/>
              </w:rPr>
              <w:instrText xml:space="preserve"> SEQ Figure \* ARABIC </w:instrText>
            </w:r>
            <w:r w:rsidRPr="00807301">
              <w:rPr>
                <w:i w:val="0"/>
                <w:iCs/>
              </w:rPr>
              <w:fldChar w:fldCharType="separate"/>
            </w:r>
            <w:r w:rsidR="00B00618">
              <w:rPr>
                <w:i w:val="0"/>
                <w:iCs/>
                <w:noProof/>
              </w:rPr>
              <w:t>1</w:t>
            </w:r>
            <w:r w:rsidRPr="00807301">
              <w:rPr>
                <w:i w:val="0"/>
                <w:iCs/>
              </w:rPr>
              <w:fldChar w:fldCharType="end"/>
            </w:r>
            <w:r w:rsidRPr="00807301">
              <w:rPr>
                <w:i w:val="0"/>
                <w:iCs/>
              </w:rPr>
              <w:t xml:space="preserve">: </w:t>
            </w:r>
            <w:r w:rsidR="00D4221F" w:rsidRPr="00807301">
              <w:rPr>
                <w:i w:val="0"/>
                <w:iCs/>
                <w:sz w:val="21"/>
                <w:szCs w:val="21"/>
              </w:rPr>
              <w:t xml:space="preserve">James McPherson’s Yarra Glen Run. Source: </w:t>
            </w:r>
            <w:r w:rsidR="00D4221F" w:rsidRPr="00807301">
              <w:rPr>
                <w:rFonts w:hint="eastAsia"/>
                <w:i w:val="0"/>
                <w:iCs/>
                <w:sz w:val="21"/>
                <w:szCs w:val="21"/>
                <w:lang w:eastAsia="zh-TW"/>
              </w:rPr>
              <w:t>PROV,</w:t>
            </w:r>
            <w:r w:rsidR="00D4221F" w:rsidRPr="00807301">
              <w:rPr>
                <w:i w:val="0"/>
                <w:iCs/>
                <w:sz w:val="21"/>
                <w:szCs w:val="21"/>
                <w:lang w:eastAsia="zh-TW"/>
              </w:rPr>
              <w:t xml:space="preserve"> VPRS16171/P01/8, Sutton (Psh) LOLmps3513)</w:t>
            </w:r>
          </w:p>
        </w:tc>
      </w:tr>
    </w:tbl>
    <w:p w14:paraId="2C67A409" w14:textId="47382864" w:rsidR="00992175" w:rsidRPr="00992175" w:rsidRDefault="00992175" w:rsidP="00992175">
      <w:pPr>
        <w:rPr>
          <w:rFonts w:cs="Arial"/>
          <w:sz w:val="21"/>
          <w:szCs w:val="21"/>
        </w:rPr>
      </w:pPr>
      <w:r w:rsidRPr="00992175">
        <w:rPr>
          <w:rFonts w:cs="Arial"/>
          <w:sz w:val="21"/>
          <w:szCs w:val="21"/>
        </w:rPr>
        <w:t>The McPhersons continued to make use of grazing leases on Crown land. In 1859 he was rated for 8320 acres of Crown-owned grazing land, indicting he was probably leasing much of the remainder of the original Watsons Creek/Yarra Glen run (Woiwod 2010</w:t>
      </w:r>
      <w:r w:rsidR="00AC54F1">
        <w:rPr>
          <w:rFonts w:cs="Arial"/>
          <w:sz w:val="21"/>
          <w:szCs w:val="21"/>
        </w:rPr>
        <w:t>:</w:t>
      </w:r>
      <w:r w:rsidRPr="00992175">
        <w:rPr>
          <w:rFonts w:cs="Arial"/>
          <w:sz w:val="21"/>
          <w:szCs w:val="21"/>
        </w:rPr>
        <w:t>77; RB 1859). In 1864 James McPherson advertised 200 dairy cattle for sale at his station Yarra Glen (</w:t>
      </w:r>
      <w:r w:rsidRPr="00AC54F1">
        <w:rPr>
          <w:rFonts w:cs="Arial"/>
          <w:i/>
          <w:iCs/>
          <w:sz w:val="21"/>
          <w:szCs w:val="21"/>
        </w:rPr>
        <w:t>Argus</w:t>
      </w:r>
      <w:r w:rsidRPr="00992175">
        <w:rPr>
          <w:rFonts w:cs="Arial"/>
          <w:sz w:val="21"/>
          <w:szCs w:val="21"/>
        </w:rPr>
        <w:t>, 26 July 1864:3). He made a will in 1866 in which his son William was to get the 591 acres Lot 13 in the Parish of Tarrawarra in 1867. While William did not officially become the owner until 1881, he and his new wife soon moved to the property, which they named ‘Huntinglen’ (Watson 2006</w:t>
      </w:r>
      <w:r w:rsidR="00874B76">
        <w:rPr>
          <w:rFonts w:cs="Arial"/>
          <w:sz w:val="21"/>
          <w:szCs w:val="21"/>
        </w:rPr>
        <w:t>:</w:t>
      </w:r>
      <w:r w:rsidRPr="00992175">
        <w:rPr>
          <w:rFonts w:cs="Arial"/>
          <w:sz w:val="21"/>
          <w:szCs w:val="21"/>
        </w:rPr>
        <w:t>21;</w:t>
      </w:r>
      <w:r w:rsidR="005825E5">
        <w:rPr>
          <w:rFonts w:cs="Arial"/>
          <w:sz w:val="21"/>
          <w:szCs w:val="21"/>
        </w:rPr>
        <w:t xml:space="preserve"> PROV, VPRS 7591/P2, 15/418</w:t>
      </w:r>
      <w:r w:rsidR="005825E5" w:rsidRPr="006851AC">
        <w:rPr>
          <w:rFonts w:cs="Arial"/>
          <w:sz w:val="21"/>
          <w:szCs w:val="21"/>
        </w:rPr>
        <w:t>)</w:t>
      </w:r>
      <w:r w:rsidRPr="006851AC">
        <w:rPr>
          <w:rFonts w:cs="Arial"/>
          <w:sz w:val="21"/>
          <w:szCs w:val="21"/>
        </w:rPr>
        <w:t>.</w:t>
      </w:r>
    </w:p>
    <w:p w14:paraId="1F0CAF0F" w14:textId="77777777" w:rsidR="00992175" w:rsidRPr="00992175" w:rsidRDefault="00992175" w:rsidP="00992175">
      <w:pPr>
        <w:rPr>
          <w:rFonts w:cs="Arial"/>
          <w:sz w:val="21"/>
          <w:szCs w:val="21"/>
        </w:rPr>
      </w:pPr>
    </w:p>
    <w:p w14:paraId="44A4985B" w14:textId="4F3BC638" w:rsidR="00992175" w:rsidRPr="00992175" w:rsidRDefault="00992175" w:rsidP="00992175">
      <w:pPr>
        <w:rPr>
          <w:rFonts w:cs="Arial"/>
          <w:sz w:val="21"/>
          <w:szCs w:val="21"/>
        </w:rPr>
      </w:pPr>
      <w:r w:rsidRPr="00992175">
        <w:rPr>
          <w:rFonts w:cs="Arial"/>
          <w:sz w:val="21"/>
          <w:szCs w:val="21"/>
        </w:rPr>
        <w:t>In the will younger son James was to get the 640-acre Pre-emptive Right lot when he was 21, along with “the building and other erections thereon”. James senior’s wife Janet was to retain a life interest in the property (</w:t>
      </w:r>
      <w:r w:rsidR="006F3338">
        <w:rPr>
          <w:rFonts w:cs="Arial"/>
          <w:sz w:val="21"/>
          <w:szCs w:val="21"/>
        </w:rPr>
        <w:t xml:space="preserve">VPRS 7591/P2, 15/418). </w:t>
      </w:r>
      <w:r w:rsidRPr="00992175">
        <w:rPr>
          <w:rFonts w:cs="Arial"/>
          <w:sz w:val="21"/>
          <w:szCs w:val="21"/>
        </w:rPr>
        <w:t xml:space="preserve">Perhaps because he felt secure in this position, from c1869 James McPherson junior set about his own selections around the original </w:t>
      </w:r>
      <w:r w:rsidRPr="00582C2C">
        <w:rPr>
          <w:rFonts w:cs="Arial"/>
          <w:sz w:val="21"/>
          <w:szCs w:val="21"/>
        </w:rPr>
        <w:t>Pre-emptive Right</w:t>
      </w:r>
      <w:r w:rsidRPr="00992175">
        <w:rPr>
          <w:rFonts w:cs="Arial"/>
          <w:sz w:val="21"/>
          <w:szCs w:val="21"/>
        </w:rPr>
        <w:t xml:space="preserve"> block. In 1869 he applied for a Section 42 occupation license for Lot A2 Parish of Sutton, 74 acres south of William Herbert’s 42nd section block, to which he gained freehold in 1873. This land was river flats which flooded in winter. He also selected the 39- acre Lot A3 just to the west under Sections 19 and 20 of the Land Act, and for which he gained freehold in 1876. He cleared, drained and sowed this land to grass (</w:t>
      </w:r>
      <w:r w:rsidRPr="00416D88">
        <w:rPr>
          <w:rFonts w:cs="Arial"/>
          <w:i/>
          <w:iCs/>
          <w:sz w:val="21"/>
          <w:szCs w:val="21"/>
        </w:rPr>
        <w:t>Age</w:t>
      </w:r>
      <w:r w:rsidRPr="00992175">
        <w:rPr>
          <w:rFonts w:cs="Arial"/>
          <w:sz w:val="21"/>
          <w:szCs w:val="21"/>
        </w:rPr>
        <w:t xml:space="preserve"> 12 May 1869:1; </w:t>
      </w:r>
      <w:r w:rsidR="00B073B7">
        <w:rPr>
          <w:rFonts w:cs="Arial"/>
          <w:sz w:val="21"/>
          <w:szCs w:val="21"/>
        </w:rPr>
        <w:t xml:space="preserve">PROV, VPRS5357/P0, 11850/106; </w:t>
      </w:r>
      <w:r w:rsidR="00582C2C">
        <w:rPr>
          <w:rFonts w:cs="Arial" w:hint="eastAsia"/>
          <w:sz w:val="21"/>
          <w:szCs w:val="21"/>
          <w:lang w:eastAsia="zh-TW"/>
        </w:rPr>
        <w:t>PROV,</w:t>
      </w:r>
      <w:r w:rsidR="00582C2C">
        <w:rPr>
          <w:rFonts w:cs="Arial"/>
          <w:sz w:val="21"/>
          <w:szCs w:val="21"/>
          <w:lang w:eastAsia="zh-TW"/>
        </w:rPr>
        <w:t xml:space="preserve"> VPRS16171/P01/8, Sutton (Psh) LOLmps3513</w:t>
      </w:r>
      <w:r w:rsidRPr="00992175">
        <w:rPr>
          <w:rFonts w:cs="Arial"/>
          <w:sz w:val="21"/>
          <w:szCs w:val="21"/>
        </w:rPr>
        <w:t>).</w:t>
      </w:r>
    </w:p>
    <w:p w14:paraId="7975C6F4" w14:textId="77777777" w:rsidR="00992175" w:rsidRPr="00992175" w:rsidRDefault="00992175" w:rsidP="00992175">
      <w:pPr>
        <w:rPr>
          <w:rFonts w:cs="Arial"/>
          <w:sz w:val="21"/>
          <w:szCs w:val="21"/>
        </w:rPr>
      </w:pPr>
    </w:p>
    <w:p w14:paraId="2739D4D5" w14:textId="5037DBED" w:rsidR="00992175" w:rsidRPr="00992175" w:rsidRDefault="00992175" w:rsidP="00992175">
      <w:pPr>
        <w:rPr>
          <w:rFonts w:cs="Arial"/>
          <w:sz w:val="21"/>
          <w:szCs w:val="21"/>
        </w:rPr>
      </w:pPr>
      <w:r w:rsidRPr="00992175">
        <w:rPr>
          <w:rFonts w:cs="Arial"/>
          <w:sz w:val="21"/>
          <w:szCs w:val="21"/>
        </w:rPr>
        <w:t>In 1869 James McPherson (presumably senior) advertised for sale his entire dairy herd, with the auction at his homestead at Yarra Glen Station, “in consequence of [his] giving up the run” (</w:t>
      </w:r>
      <w:r w:rsidRPr="00A61521">
        <w:rPr>
          <w:rFonts w:cs="Arial"/>
          <w:i/>
          <w:iCs/>
          <w:sz w:val="21"/>
          <w:szCs w:val="21"/>
        </w:rPr>
        <w:t>Australasian</w:t>
      </w:r>
      <w:r w:rsidRPr="00992175">
        <w:rPr>
          <w:rFonts w:cs="Arial"/>
          <w:sz w:val="21"/>
          <w:szCs w:val="21"/>
        </w:rPr>
        <w:t xml:space="preserve"> 21 August 1869:3). The reasons for, and the outcome of this sale are not known. In 1873 James Junior selected the heavily timbered 205-acre Lot 47A adjoining the northern boundary of his father’s Pre-emptive Right. Here he cleared and ringbarked, built a dam and planted a small area of orchard. The Lands Department file notes that at this time he</w:t>
      </w:r>
      <w:r>
        <w:rPr>
          <w:rFonts w:cs="Arial"/>
          <w:sz w:val="21"/>
          <w:szCs w:val="21"/>
        </w:rPr>
        <w:t xml:space="preserve"> </w:t>
      </w:r>
      <w:r w:rsidRPr="00992175">
        <w:rPr>
          <w:rFonts w:cs="Arial"/>
          <w:sz w:val="21"/>
          <w:szCs w:val="21"/>
        </w:rPr>
        <w:t>was living on the adjoining block with his father. Times must have been tough, as he applied to mortgage the lease in 1878. He would not gain freehold until 1891 (</w:t>
      </w:r>
      <w:r w:rsidR="007C1416">
        <w:rPr>
          <w:rFonts w:cs="Arial"/>
          <w:sz w:val="21"/>
          <w:szCs w:val="21"/>
        </w:rPr>
        <w:t xml:space="preserve">PROV, VPRS625/P0, file 32069; </w:t>
      </w:r>
      <w:r w:rsidR="00582C2C">
        <w:rPr>
          <w:rFonts w:cs="Arial" w:hint="eastAsia"/>
          <w:sz w:val="21"/>
          <w:szCs w:val="21"/>
          <w:lang w:eastAsia="zh-TW"/>
        </w:rPr>
        <w:t>PROV,</w:t>
      </w:r>
      <w:r w:rsidR="00582C2C">
        <w:rPr>
          <w:rFonts w:cs="Arial"/>
          <w:sz w:val="21"/>
          <w:szCs w:val="21"/>
          <w:lang w:eastAsia="zh-TW"/>
        </w:rPr>
        <w:t xml:space="preserve"> VPRS16171/P01/8, Sutton (Psh) LOLmps3513</w:t>
      </w:r>
      <w:r w:rsidRPr="00992175">
        <w:rPr>
          <w:rFonts w:cs="Arial"/>
          <w:sz w:val="21"/>
          <w:szCs w:val="21"/>
        </w:rPr>
        <w:t>).</w:t>
      </w:r>
    </w:p>
    <w:p w14:paraId="70A6B24A" w14:textId="77777777" w:rsidR="00992175" w:rsidRPr="00992175" w:rsidRDefault="00992175" w:rsidP="00992175">
      <w:pPr>
        <w:rPr>
          <w:rFonts w:cs="Arial"/>
          <w:sz w:val="21"/>
          <w:szCs w:val="21"/>
        </w:rPr>
      </w:pPr>
    </w:p>
    <w:p w14:paraId="4612A297" w14:textId="25EEE196" w:rsidR="00992175" w:rsidRPr="00992175" w:rsidRDefault="00992175" w:rsidP="00992175">
      <w:pPr>
        <w:rPr>
          <w:rFonts w:cs="Arial"/>
          <w:sz w:val="21"/>
          <w:szCs w:val="21"/>
        </w:rPr>
      </w:pPr>
      <w:r w:rsidRPr="00992175">
        <w:rPr>
          <w:rFonts w:cs="Arial"/>
          <w:sz w:val="21"/>
          <w:szCs w:val="21"/>
        </w:rPr>
        <w:lastRenderedPageBreak/>
        <w:t>Tansley and Watson both suggest the existing slab house was built in the early 1870s, though neither detail how they came to this conclusion (Tansley</w:t>
      </w:r>
      <w:r w:rsidR="00EE592D">
        <w:rPr>
          <w:rFonts w:cs="Arial"/>
          <w:sz w:val="21"/>
          <w:szCs w:val="21"/>
        </w:rPr>
        <w:t xml:space="preserve"> 1978:</w:t>
      </w:r>
      <w:r w:rsidRPr="00992175">
        <w:rPr>
          <w:rFonts w:cs="Arial"/>
          <w:sz w:val="21"/>
          <w:szCs w:val="21"/>
        </w:rPr>
        <w:t>113</w:t>
      </w:r>
      <w:r w:rsidR="00EE592D">
        <w:rPr>
          <w:rFonts w:cs="Arial"/>
          <w:sz w:val="21"/>
          <w:szCs w:val="21"/>
        </w:rPr>
        <w:t>,</w:t>
      </w:r>
      <w:r w:rsidRPr="00992175">
        <w:rPr>
          <w:rFonts w:cs="Arial"/>
          <w:sz w:val="21"/>
          <w:szCs w:val="21"/>
        </w:rPr>
        <w:t xml:space="preserve"> Watson</w:t>
      </w:r>
      <w:r w:rsidR="00EE592D">
        <w:rPr>
          <w:rFonts w:cs="Arial"/>
          <w:sz w:val="21"/>
          <w:szCs w:val="21"/>
        </w:rPr>
        <w:t xml:space="preserve"> 2006:</w:t>
      </w:r>
      <w:r w:rsidRPr="00992175">
        <w:rPr>
          <w:rFonts w:cs="Arial"/>
          <w:sz w:val="21"/>
          <w:szCs w:val="21"/>
        </w:rPr>
        <w:t>25). Rate books from 1858 to the late 1870s give no indication of the date of construction. James junior was concurrently clearing land on the adjacent blocks he had selected (see above), and this may have provided the materials for the new residence. Perhaps the condition of the old building had simply become too poor. The new slab house was certainly there by the time James McPherson senior died, in 1876. The inventory in McPherson’s probate papers lists a four-roomed wood residence with shed and stable (</w:t>
      </w:r>
      <w:r w:rsidR="006851AC">
        <w:rPr>
          <w:rFonts w:cs="Arial"/>
          <w:sz w:val="21"/>
          <w:szCs w:val="21"/>
        </w:rPr>
        <w:t>VPRS 7591/P2, 15/418</w:t>
      </w:r>
      <w:r w:rsidRPr="00992175">
        <w:rPr>
          <w:rFonts w:cs="Arial"/>
          <w:sz w:val="21"/>
          <w:szCs w:val="21"/>
        </w:rPr>
        <w:t>).</w:t>
      </w:r>
    </w:p>
    <w:p w14:paraId="53F44F4C" w14:textId="77777777" w:rsidR="00992175" w:rsidRPr="00992175" w:rsidRDefault="00992175" w:rsidP="00992175">
      <w:pPr>
        <w:rPr>
          <w:rFonts w:cs="Arial"/>
          <w:sz w:val="21"/>
          <w:szCs w:val="21"/>
        </w:rPr>
      </w:pPr>
    </w:p>
    <w:p w14:paraId="5E930BA5" w14:textId="77777777" w:rsidR="00992175" w:rsidRPr="008726F4" w:rsidRDefault="00992175" w:rsidP="00992175">
      <w:pPr>
        <w:rPr>
          <w:rFonts w:cs="Arial"/>
          <w:i/>
          <w:iCs/>
          <w:sz w:val="21"/>
          <w:szCs w:val="21"/>
        </w:rPr>
      </w:pPr>
      <w:r w:rsidRPr="008726F4">
        <w:rPr>
          <w:rFonts w:cs="Arial"/>
          <w:i/>
          <w:iCs/>
          <w:sz w:val="21"/>
          <w:szCs w:val="21"/>
        </w:rPr>
        <w:t>James McPherson Junior</w:t>
      </w:r>
    </w:p>
    <w:p w14:paraId="155D647B" w14:textId="39F8006D" w:rsidR="00992175" w:rsidRPr="00992175" w:rsidRDefault="00992175" w:rsidP="00992175">
      <w:pPr>
        <w:rPr>
          <w:rFonts w:cs="Arial"/>
          <w:sz w:val="21"/>
          <w:szCs w:val="21"/>
        </w:rPr>
      </w:pPr>
      <w:r w:rsidRPr="00992175">
        <w:rPr>
          <w:rFonts w:cs="Arial"/>
          <w:sz w:val="21"/>
          <w:szCs w:val="21"/>
        </w:rPr>
        <w:t>James junior married Alice Holding in 1879. Alice gave birth to a son, James William, at her father’s residence in Fitzroy in 1880 (</w:t>
      </w:r>
      <w:r w:rsidRPr="00465725">
        <w:rPr>
          <w:rFonts w:cs="Arial"/>
          <w:i/>
          <w:iCs/>
          <w:sz w:val="21"/>
          <w:szCs w:val="21"/>
        </w:rPr>
        <w:t>Age</w:t>
      </w:r>
      <w:r w:rsidRPr="00992175">
        <w:rPr>
          <w:rFonts w:cs="Arial"/>
          <w:sz w:val="21"/>
          <w:szCs w:val="21"/>
        </w:rPr>
        <w:t xml:space="preserve"> 17 September 1880:1; Watson 2006</w:t>
      </w:r>
      <w:r w:rsidR="00465725">
        <w:rPr>
          <w:rFonts w:cs="Arial"/>
          <w:sz w:val="21"/>
          <w:szCs w:val="21"/>
        </w:rPr>
        <w:t>:</w:t>
      </w:r>
      <w:r w:rsidRPr="00992175">
        <w:rPr>
          <w:rFonts w:cs="Arial"/>
          <w:sz w:val="21"/>
          <w:szCs w:val="21"/>
        </w:rPr>
        <w:t>26). Watson writes that James junior continued to farm Yarra Glen during the 1880s, but he appears to have done so with some reluctance. In 1877 he had a clearing out sale of the whole of his farming stock at Yarra Glen because he was giving up dairying (</w:t>
      </w:r>
      <w:r w:rsidRPr="00C35344">
        <w:rPr>
          <w:rFonts w:cs="Arial"/>
          <w:i/>
          <w:iCs/>
          <w:sz w:val="21"/>
          <w:szCs w:val="21"/>
        </w:rPr>
        <w:t>Australasian</w:t>
      </w:r>
      <w:r w:rsidRPr="00992175">
        <w:rPr>
          <w:rFonts w:cs="Arial"/>
          <w:sz w:val="21"/>
          <w:szCs w:val="21"/>
        </w:rPr>
        <w:t xml:space="preserve"> 3 November 1877:28). In 1889 he offered the Yarra Glen Estate, containing 845 acres, for a three-year lease. It included a comfortable homestead of four rooms (</w:t>
      </w:r>
      <w:r w:rsidRPr="00C35344">
        <w:rPr>
          <w:rFonts w:cs="Arial"/>
          <w:i/>
          <w:iCs/>
          <w:sz w:val="21"/>
          <w:szCs w:val="21"/>
        </w:rPr>
        <w:t>EO&amp;S&amp;EBR</w:t>
      </w:r>
      <w:r w:rsidRPr="00992175">
        <w:rPr>
          <w:rFonts w:cs="Arial"/>
          <w:sz w:val="21"/>
          <w:szCs w:val="21"/>
        </w:rPr>
        <w:t xml:space="preserve"> 20 September 1889:2).</w:t>
      </w:r>
      <w:r>
        <w:rPr>
          <w:rFonts w:cs="Arial"/>
          <w:sz w:val="21"/>
          <w:szCs w:val="21"/>
        </w:rPr>
        <w:t xml:space="preserve"> </w:t>
      </w:r>
      <w:r w:rsidRPr="00992175">
        <w:rPr>
          <w:rFonts w:cs="Arial"/>
          <w:sz w:val="21"/>
          <w:szCs w:val="21"/>
        </w:rPr>
        <w:t>There appear to have been no takers.</w:t>
      </w:r>
    </w:p>
    <w:p w14:paraId="3AE47F73" w14:textId="77777777" w:rsidR="00992175" w:rsidRPr="00992175" w:rsidRDefault="00992175" w:rsidP="00992175">
      <w:pPr>
        <w:rPr>
          <w:rFonts w:cs="Arial"/>
          <w:sz w:val="21"/>
          <w:szCs w:val="21"/>
        </w:rPr>
      </w:pPr>
    </w:p>
    <w:p w14:paraId="6AFA4487" w14:textId="65894BEF" w:rsidR="00992175" w:rsidRPr="00992175" w:rsidRDefault="00992175" w:rsidP="00992175">
      <w:pPr>
        <w:rPr>
          <w:rFonts w:cs="Arial"/>
          <w:sz w:val="21"/>
          <w:szCs w:val="21"/>
        </w:rPr>
      </w:pPr>
      <w:r w:rsidRPr="00992175">
        <w:rPr>
          <w:rFonts w:cs="Arial"/>
          <w:sz w:val="21"/>
          <w:szCs w:val="21"/>
        </w:rPr>
        <w:t>The depression of the 1890s had taken hold in Victoria and James junior struggled to maintain the property (Watson 2006</w:t>
      </w:r>
      <w:r w:rsidR="00C35344">
        <w:rPr>
          <w:rFonts w:cs="Arial"/>
          <w:sz w:val="21"/>
          <w:szCs w:val="21"/>
        </w:rPr>
        <w:t>:</w:t>
      </w:r>
      <w:r w:rsidRPr="00992175">
        <w:rPr>
          <w:rFonts w:cs="Arial"/>
          <w:sz w:val="21"/>
          <w:szCs w:val="21"/>
        </w:rPr>
        <w:t>34). In 1890 he advertised for cattle to graze on the Yarra Glen Estate (</w:t>
      </w:r>
      <w:r w:rsidRPr="00C35344">
        <w:rPr>
          <w:rFonts w:cs="Arial"/>
          <w:i/>
          <w:iCs/>
          <w:sz w:val="21"/>
          <w:szCs w:val="21"/>
        </w:rPr>
        <w:t>EO&amp;S&amp;EBR</w:t>
      </w:r>
      <w:r w:rsidRPr="00992175">
        <w:rPr>
          <w:rFonts w:cs="Arial"/>
          <w:sz w:val="21"/>
          <w:szCs w:val="21"/>
        </w:rPr>
        <w:t xml:space="preserve"> 13 June 1890:2). He advertised grazing paddocks again in 1894 (</w:t>
      </w:r>
      <w:r w:rsidRPr="00C35344">
        <w:rPr>
          <w:rFonts w:cs="Arial"/>
          <w:i/>
          <w:iCs/>
          <w:sz w:val="21"/>
          <w:szCs w:val="21"/>
        </w:rPr>
        <w:t>EO&amp;S&amp;EBR</w:t>
      </w:r>
      <w:r w:rsidRPr="00992175">
        <w:rPr>
          <w:rFonts w:cs="Arial"/>
          <w:sz w:val="21"/>
          <w:szCs w:val="21"/>
        </w:rPr>
        <w:t xml:space="preserve"> 16 March 1894:2). James senior’s executors William Herbert and William Ross finally transferred ownership of the property to James junior in 1894. He then mortgaged the property to neighbour William Herbert to enable him to carry on with the farm. His brother William had been more successful as a farmer and he also supported James (Watson 2006</w:t>
      </w:r>
      <w:r w:rsidR="00C35344">
        <w:rPr>
          <w:rFonts w:cs="Arial"/>
          <w:sz w:val="21"/>
          <w:szCs w:val="21"/>
        </w:rPr>
        <w:t>:</w:t>
      </w:r>
      <w:r w:rsidRPr="00992175">
        <w:rPr>
          <w:rFonts w:cs="Arial"/>
          <w:sz w:val="21"/>
          <w:szCs w:val="21"/>
        </w:rPr>
        <w:t>34). James junior’s mother Janet McPherson died in 1889 (Watson 2006</w:t>
      </w:r>
      <w:r w:rsidR="00C35344">
        <w:rPr>
          <w:rFonts w:cs="Arial"/>
          <w:sz w:val="21"/>
          <w:szCs w:val="21"/>
        </w:rPr>
        <w:t>:</w:t>
      </w:r>
      <w:r w:rsidRPr="00992175">
        <w:rPr>
          <w:rFonts w:cs="Arial"/>
          <w:sz w:val="21"/>
          <w:szCs w:val="21"/>
        </w:rPr>
        <w:t>33).</w:t>
      </w:r>
    </w:p>
    <w:p w14:paraId="1E23E283" w14:textId="77777777" w:rsidR="00992175" w:rsidRPr="00992175" w:rsidRDefault="00992175" w:rsidP="00992175">
      <w:pPr>
        <w:rPr>
          <w:rFonts w:cs="Arial"/>
          <w:sz w:val="21"/>
          <w:szCs w:val="21"/>
        </w:rPr>
      </w:pPr>
    </w:p>
    <w:p w14:paraId="61B56B9E" w14:textId="037C80A0" w:rsidR="00992175" w:rsidRPr="00992175" w:rsidRDefault="00992175" w:rsidP="00992175">
      <w:pPr>
        <w:rPr>
          <w:rFonts w:cs="Arial"/>
          <w:sz w:val="21"/>
          <w:szCs w:val="21"/>
        </w:rPr>
      </w:pPr>
      <w:r w:rsidRPr="00992175">
        <w:rPr>
          <w:rFonts w:cs="Arial"/>
          <w:sz w:val="21"/>
          <w:szCs w:val="21"/>
        </w:rPr>
        <w:t>When James junior himself died in 1898, he still owned the 640 acres of Pre-emptive Right land, on which was an “old slab house containing four rooms”, along with an old detached building of three rooms (presumably the original residence c1851) and an old barn, stable and cowsheds (</w:t>
      </w:r>
      <w:r w:rsidR="006851AC">
        <w:rPr>
          <w:rFonts w:cs="Arial"/>
          <w:sz w:val="21"/>
          <w:szCs w:val="21"/>
        </w:rPr>
        <w:t>PROV, VPRS 28/P0, 67/925</w:t>
      </w:r>
      <w:r w:rsidRPr="00992175">
        <w:rPr>
          <w:rFonts w:cs="Arial"/>
          <w:sz w:val="21"/>
          <w:szCs w:val="21"/>
        </w:rPr>
        <w:t>). James’ wife Alice remained on the property with the children until 1907. Her oldest son James William died in 1905 and her next son Andrew had little interest in becoming a farmer. The family struggled to run the large property, and Alice sold the property and moved to a much smaller farm closer to the township of Yarra Glen.</w:t>
      </w:r>
    </w:p>
    <w:p w14:paraId="07EE76CD" w14:textId="77777777" w:rsidR="00992175" w:rsidRPr="00992175" w:rsidRDefault="00992175" w:rsidP="00992175">
      <w:pPr>
        <w:rPr>
          <w:rFonts w:cs="Arial"/>
          <w:sz w:val="21"/>
          <w:szCs w:val="21"/>
        </w:rPr>
      </w:pPr>
    </w:p>
    <w:p w14:paraId="62504740" w14:textId="77777777" w:rsidR="00992175" w:rsidRPr="008726F4" w:rsidRDefault="00992175" w:rsidP="00992175">
      <w:pPr>
        <w:rPr>
          <w:rFonts w:cs="Arial"/>
          <w:i/>
          <w:iCs/>
          <w:sz w:val="21"/>
          <w:szCs w:val="21"/>
        </w:rPr>
      </w:pPr>
      <w:r w:rsidRPr="008726F4">
        <w:rPr>
          <w:rFonts w:cs="Arial"/>
          <w:i/>
          <w:iCs/>
          <w:sz w:val="21"/>
          <w:szCs w:val="21"/>
        </w:rPr>
        <w:t>David Mitchell and the ‘Henley Estate’</w:t>
      </w:r>
    </w:p>
    <w:p w14:paraId="3CCA459B" w14:textId="4873108E" w:rsidR="00992175" w:rsidRPr="00992175" w:rsidRDefault="00992175" w:rsidP="00992175">
      <w:pPr>
        <w:rPr>
          <w:rFonts w:cs="Arial"/>
          <w:sz w:val="21"/>
          <w:szCs w:val="21"/>
        </w:rPr>
      </w:pPr>
      <w:r w:rsidRPr="00992175">
        <w:rPr>
          <w:rFonts w:cs="Arial"/>
          <w:sz w:val="21"/>
          <w:szCs w:val="21"/>
        </w:rPr>
        <w:t>The McPherson land was purchased by David Mitchell, father of Dame Nellie Melba, in 1907/8. Mitchell was a builder, contractor and businessman who constructed several major buildings in the city of Melbourne. He owned a brick-works in Richmond and was a shareholder in a lime and cement manufacturing company. He owned several large pastoral properties round Victoria, including a number of properties around Yarra Glen. He worked limestone deposits at his property Cave Hill at Lilydale, and also produced ham, cheese, butter, bacon and soap there. He owned winegrowing and making properties at Yeringberg, Coldstream and St Huberts. At Yarra Glen he added land on the Yarra flats across the river and renamed the property the ‘Henley’ (Watson</w:t>
      </w:r>
      <w:r w:rsidR="00822A40">
        <w:rPr>
          <w:rFonts w:cs="Arial"/>
          <w:sz w:val="21"/>
          <w:szCs w:val="21"/>
        </w:rPr>
        <w:t xml:space="preserve"> 2006:</w:t>
      </w:r>
      <w:r w:rsidRPr="00992175">
        <w:rPr>
          <w:rFonts w:cs="Arial"/>
          <w:sz w:val="21"/>
          <w:szCs w:val="21"/>
        </w:rPr>
        <w:t>37;</w:t>
      </w:r>
      <w:r w:rsidR="00F35E67">
        <w:rPr>
          <w:rFonts w:cs="Arial"/>
          <w:sz w:val="21"/>
          <w:szCs w:val="21"/>
        </w:rPr>
        <w:t xml:space="preserve"> Campbell, 1974</w:t>
      </w:r>
      <w:r w:rsidRPr="00992175">
        <w:rPr>
          <w:rFonts w:cs="Arial"/>
          <w:sz w:val="21"/>
          <w:szCs w:val="21"/>
        </w:rPr>
        <w:t>). The farm was frequently visited by the hunts of the Yarra Glen and Lilydale Hounds (</w:t>
      </w:r>
      <w:r w:rsidRPr="002F0DB6">
        <w:rPr>
          <w:rFonts w:cs="Arial"/>
          <w:i/>
          <w:iCs/>
          <w:sz w:val="21"/>
          <w:szCs w:val="21"/>
        </w:rPr>
        <w:t>Australasian</w:t>
      </w:r>
      <w:r w:rsidRPr="00992175">
        <w:rPr>
          <w:rFonts w:cs="Arial"/>
          <w:sz w:val="21"/>
          <w:szCs w:val="21"/>
        </w:rPr>
        <w:t xml:space="preserve"> 24 June 1911:23).</w:t>
      </w:r>
    </w:p>
    <w:p w14:paraId="36DD1F9B" w14:textId="77777777" w:rsidR="00992175" w:rsidRPr="00992175" w:rsidRDefault="00992175" w:rsidP="00992175">
      <w:pPr>
        <w:rPr>
          <w:rFonts w:cs="Arial"/>
          <w:sz w:val="21"/>
          <w:szCs w:val="21"/>
        </w:rPr>
      </w:pPr>
    </w:p>
    <w:p w14:paraId="5C123E0C" w14:textId="77777777" w:rsidR="00992175" w:rsidRPr="008726F4" w:rsidRDefault="00992175" w:rsidP="00992175">
      <w:pPr>
        <w:rPr>
          <w:rFonts w:cs="Arial"/>
          <w:i/>
          <w:iCs/>
          <w:sz w:val="21"/>
          <w:szCs w:val="21"/>
        </w:rPr>
      </w:pPr>
      <w:r w:rsidRPr="008726F4">
        <w:rPr>
          <w:rFonts w:cs="Arial"/>
          <w:i/>
          <w:iCs/>
          <w:sz w:val="21"/>
          <w:szCs w:val="21"/>
        </w:rPr>
        <w:t>John Herbert Thornton</w:t>
      </w:r>
    </w:p>
    <w:p w14:paraId="42E329CD" w14:textId="5AD2A4DD" w:rsidR="00992175" w:rsidRPr="00992175" w:rsidRDefault="00992175" w:rsidP="00992175">
      <w:pPr>
        <w:rPr>
          <w:rFonts w:cs="Arial"/>
          <w:sz w:val="21"/>
          <w:szCs w:val="21"/>
        </w:rPr>
      </w:pPr>
      <w:r w:rsidRPr="00992175">
        <w:rPr>
          <w:rFonts w:cs="Arial"/>
          <w:sz w:val="21"/>
          <w:szCs w:val="21"/>
        </w:rPr>
        <w:t>David Mitchell died in 1916. In 1920 the Henley Estate was sold by the executors of the David Mitchell estate to Mr (John) Herbert Thornton of ‘Mount Myrtoon’ station, Camperdown. The estate was now 1478 acres in extent with 600 acres of Yarra flats (</w:t>
      </w:r>
      <w:r w:rsidRPr="002F0DB6">
        <w:rPr>
          <w:rFonts w:cs="Arial"/>
          <w:i/>
          <w:iCs/>
          <w:sz w:val="21"/>
          <w:szCs w:val="21"/>
        </w:rPr>
        <w:t>Age</w:t>
      </w:r>
      <w:r w:rsidRPr="00992175">
        <w:rPr>
          <w:rFonts w:cs="Arial"/>
          <w:sz w:val="21"/>
          <w:szCs w:val="21"/>
        </w:rPr>
        <w:t xml:space="preserve"> </w:t>
      </w:r>
      <w:r w:rsidRPr="00992175">
        <w:rPr>
          <w:rFonts w:cs="Arial"/>
          <w:sz w:val="21"/>
          <w:szCs w:val="21"/>
        </w:rPr>
        <w:lastRenderedPageBreak/>
        <w:t xml:space="preserve">22 April 1920:9). When Thornton died in 1924 the inventory in his probate papers indicated that the property included a “5 roomed slab house, slab stables and outbuildings” </w:t>
      </w:r>
      <w:r w:rsidRPr="00D00D58">
        <w:rPr>
          <w:rFonts w:cs="Arial"/>
          <w:sz w:val="21"/>
          <w:szCs w:val="21"/>
        </w:rPr>
        <w:t>(VPRS 28/P3</w:t>
      </w:r>
      <w:r w:rsidR="001169F6">
        <w:rPr>
          <w:rFonts w:cs="Arial"/>
          <w:sz w:val="21"/>
          <w:szCs w:val="21"/>
        </w:rPr>
        <w:t>,</w:t>
      </w:r>
      <w:r w:rsidRPr="00D00D58">
        <w:rPr>
          <w:rFonts w:cs="Arial"/>
          <w:sz w:val="21"/>
          <w:szCs w:val="21"/>
        </w:rPr>
        <w:t>199/18</w:t>
      </w:r>
      <w:r w:rsidRPr="00FA0697">
        <w:rPr>
          <w:rFonts w:cs="Arial"/>
          <w:sz w:val="21"/>
          <w:szCs w:val="21"/>
        </w:rPr>
        <w:t>0).</w:t>
      </w:r>
      <w:r w:rsidRPr="00992175">
        <w:rPr>
          <w:rFonts w:cs="Arial"/>
          <w:sz w:val="21"/>
          <w:szCs w:val="21"/>
        </w:rPr>
        <w:t xml:space="preserve"> This may indicate the addition of another room, possibly the infilling of the verandah on the northern side.</w:t>
      </w:r>
    </w:p>
    <w:p w14:paraId="1FC77657" w14:textId="77777777" w:rsidR="00992175" w:rsidRPr="00992175" w:rsidRDefault="00992175" w:rsidP="00992175">
      <w:pPr>
        <w:rPr>
          <w:rFonts w:cs="Arial"/>
          <w:sz w:val="21"/>
          <w:szCs w:val="21"/>
        </w:rPr>
      </w:pPr>
    </w:p>
    <w:p w14:paraId="4213AB6A" w14:textId="4856E0E0" w:rsidR="00992175" w:rsidRPr="00992175" w:rsidRDefault="00992175" w:rsidP="00992175">
      <w:pPr>
        <w:rPr>
          <w:rFonts w:cs="Arial"/>
          <w:sz w:val="21"/>
          <w:szCs w:val="21"/>
        </w:rPr>
      </w:pPr>
      <w:r w:rsidRPr="00992175">
        <w:rPr>
          <w:rFonts w:cs="Arial"/>
          <w:sz w:val="21"/>
          <w:szCs w:val="21"/>
        </w:rPr>
        <w:t>When the estate was put up for sale in 1925 it was described as “a splendid dairying and fattening property, with a double frontage to the River Yarra”. There was a “substantial” bridge over the river. The house on the north side of the river (the subject house) was described as the manager’s cottage, indicating that the owners did not live on the farm (</w:t>
      </w:r>
      <w:r w:rsidRPr="002F0DB6">
        <w:rPr>
          <w:rFonts w:cs="Arial"/>
          <w:i/>
          <w:iCs/>
          <w:sz w:val="21"/>
          <w:szCs w:val="21"/>
        </w:rPr>
        <w:t>Australasian</w:t>
      </w:r>
      <w:r w:rsidRPr="00992175">
        <w:rPr>
          <w:rFonts w:cs="Arial"/>
          <w:sz w:val="21"/>
          <w:szCs w:val="21"/>
        </w:rPr>
        <w:t xml:space="preserve"> 14 February 1925:7).</w:t>
      </w:r>
    </w:p>
    <w:p w14:paraId="07A3EA1D" w14:textId="77777777" w:rsidR="00992175" w:rsidRPr="00992175" w:rsidRDefault="00992175" w:rsidP="00992175">
      <w:pPr>
        <w:rPr>
          <w:rFonts w:cs="Arial"/>
          <w:sz w:val="21"/>
          <w:szCs w:val="21"/>
        </w:rPr>
      </w:pPr>
      <w:r w:rsidRPr="00992175">
        <w:rPr>
          <w:rFonts w:cs="Arial"/>
          <w:sz w:val="21"/>
          <w:szCs w:val="21"/>
        </w:rPr>
        <w:t xml:space="preserve"> </w:t>
      </w:r>
    </w:p>
    <w:p w14:paraId="3658FD87" w14:textId="77777777" w:rsidR="00992175" w:rsidRPr="008726F4" w:rsidRDefault="00992175" w:rsidP="00992175">
      <w:pPr>
        <w:rPr>
          <w:rFonts w:cs="Arial"/>
          <w:i/>
          <w:iCs/>
          <w:sz w:val="21"/>
          <w:szCs w:val="21"/>
        </w:rPr>
      </w:pPr>
      <w:r w:rsidRPr="008726F4">
        <w:rPr>
          <w:rFonts w:cs="Arial"/>
          <w:i/>
          <w:iCs/>
          <w:sz w:val="21"/>
          <w:szCs w:val="21"/>
        </w:rPr>
        <w:t>Sharp and Taylor</w:t>
      </w:r>
    </w:p>
    <w:p w14:paraId="0F02F737" w14:textId="17D7AEBA" w:rsidR="00992175" w:rsidRPr="00992175" w:rsidRDefault="00992175" w:rsidP="00992175">
      <w:pPr>
        <w:rPr>
          <w:rFonts w:cs="Arial"/>
          <w:sz w:val="21"/>
          <w:szCs w:val="21"/>
        </w:rPr>
      </w:pPr>
      <w:r w:rsidRPr="00992175">
        <w:rPr>
          <w:rFonts w:cs="Arial"/>
          <w:sz w:val="21"/>
          <w:szCs w:val="21"/>
        </w:rPr>
        <w:t>Messrs Sharp and Taylor of City Road South Melbourne became the owners in 1925 (RB 1925). They were still there in the 1934 floods when they lost several trucks of sheep “at Henley” (</w:t>
      </w:r>
      <w:r w:rsidR="00F75BCF" w:rsidRPr="00F75BCF">
        <w:rPr>
          <w:rFonts w:cs="Arial"/>
          <w:i/>
          <w:iCs/>
          <w:sz w:val="21"/>
          <w:szCs w:val="21"/>
        </w:rPr>
        <w:t>H&amp;YGG</w:t>
      </w:r>
      <w:r w:rsidRPr="00992175">
        <w:rPr>
          <w:rFonts w:cs="Arial"/>
          <w:sz w:val="21"/>
          <w:szCs w:val="21"/>
        </w:rPr>
        <w:t xml:space="preserve"> 8 December 1934:3).</w:t>
      </w:r>
    </w:p>
    <w:p w14:paraId="7FD2C448" w14:textId="77777777" w:rsidR="00992175" w:rsidRPr="00992175" w:rsidRDefault="00992175" w:rsidP="00992175">
      <w:pPr>
        <w:rPr>
          <w:rFonts w:cs="Arial"/>
          <w:sz w:val="21"/>
          <w:szCs w:val="21"/>
        </w:rPr>
      </w:pPr>
    </w:p>
    <w:p w14:paraId="53C0ED0D" w14:textId="77777777" w:rsidR="00992175" w:rsidRPr="008726F4" w:rsidRDefault="00992175" w:rsidP="00992175">
      <w:pPr>
        <w:rPr>
          <w:rFonts w:cs="Arial"/>
          <w:i/>
          <w:iCs/>
          <w:sz w:val="21"/>
          <w:szCs w:val="21"/>
        </w:rPr>
      </w:pPr>
      <w:r w:rsidRPr="008726F4">
        <w:rPr>
          <w:rFonts w:cs="Arial"/>
          <w:i/>
          <w:iCs/>
          <w:sz w:val="21"/>
          <w:szCs w:val="21"/>
        </w:rPr>
        <w:t>The Hill brothers</w:t>
      </w:r>
    </w:p>
    <w:p w14:paraId="2B52DEF8" w14:textId="6A76E7E9" w:rsidR="00992175" w:rsidRPr="00992175" w:rsidRDefault="00992175" w:rsidP="00992175">
      <w:pPr>
        <w:rPr>
          <w:rFonts w:cs="Arial"/>
          <w:sz w:val="21"/>
          <w:szCs w:val="21"/>
        </w:rPr>
      </w:pPr>
      <w:r w:rsidRPr="00992175">
        <w:rPr>
          <w:rFonts w:cs="Arial"/>
          <w:sz w:val="21"/>
          <w:szCs w:val="21"/>
        </w:rPr>
        <w:t>The Hill Bros. became the new owner of the Henley Estate, now 1017 acres, in 1937. They planned to run the property as “an up-to-date dairy farm” (</w:t>
      </w:r>
      <w:r w:rsidRPr="00CF4CBD">
        <w:rPr>
          <w:rFonts w:cs="Arial"/>
          <w:i/>
          <w:iCs/>
          <w:sz w:val="21"/>
          <w:szCs w:val="21"/>
        </w:rPr>
        <w:t>Advertiser (Hurstbridge)</w:t>
      </w:r>
      <w:r w:rsidRPr="00992175">
        <w:rPr>
          <w:rFonts w:cs="Arial"/>
          <w:sz w:val="21"/>
          <w:szCs w:val="21"/>
        </w:rPr>
        <w:t xml:space="preserve"> 16 July 1937:3). It appears that the Hills also raised and grazed horses. In 1937 the estate sold 150 horses and ponies at the Dandenong Horse sale, including “several trucks [of] fresh country horses” (</w:t>
      </w:r>
      <w:r w:rsidRPr="00CF4CBD">
        <w:rPr>
          <w:rFonts w:cs="Arial"/>
          <w:i/>
          <w:iCs/>
          <w:sz w:val="21"/>
          <w:szCs w:val="21"/>
        </w:rPr>
        <w:t>Dandenong Journal</w:t>
      </w:r>
      <w:r w:rsidRPr="00992175">
        <w:rPr>
          <w:rFonts w:cs="Arial"/>
          <w:sz w:val="21"/>
          <w:szCs w:val="21"/>
        </w:rPr>
        <w:t xml:space="preserve"> 28 January 1937:4).</w:t>
      </w:r>
    </w:p>
    <w:p w14:paraId="2540A25E" w14:textId="77777777" w:rsidR="00992175" w:rsidRPr="00992175" w:rsidRDefault="00992175" w:rsidP="00992175">
      <w:pPr>
        <w:rPr>
          <w:rFonts w:cs="Arial"/>
          <w:sz w:val="21"/>
          <w:szCs w:val="21"/>
        </w:rPr>
      </w:pPr>
    </w:p>
    <w:p w14:paraId="3BA1B48F" w14:textId="114AFF4B" w:rsidR="00992175" w:rsidRPr="00992175" w:rsidRDefault="00992175" w:rsidP="00992175">
      <w:pPr>
        <w:rPr>
          <w:rFonts w:cs="Arial"/>
          <w:sz w:val="21"/>
          <w:szCs w:val="21"/>
        </w:rPr>
      </w:pPr>
      <w:r w:rsidRPr="00992175">
        <w:rPr>
          <w:rFonts w:cs="Arial"/>
          <w:sz w:val="21"/>
          <w:szCs w:val="21"/>
        </w:rPr>
        <w:t>One of the brothers, Edward Colin Hill, was the owner until he died in 1974 (</w:t>
      </w:r>
      <w:r w:rsidRPr="00650FB1">
        <w:rPr>
          <w:rFonts w:cs="Arial"/>
          <w:sz w:val="21"/>
          <w:szCs w:val="21"/>
        </w:rPr>
        <w:t>BDM 24302/1974).</w:t>
      </w:r>
      <w:r w:rsidRPr="00992175">
        <w:rPr>
          <w:rFonts w:cs="Arial"/>
          <w:sz w:val="21"/>
          <w:szCs w:val="21"/>
        </w:rPr>
        <w:t xml:space="preserve"> His executors Colin Edward Hill, Wendy Oliver, and Ruby Vera Elizabeth Hill became the joint owners of the land including the subject building in 1985. Wendy Oliver was living at Henley at that time (CT</w:t>
      </w:r>
      <w:r w:rsidR="00D2086E">
        <w:rPr>
          <w:rFonts w:cs="Arial"/>
          <w:sz w:val="21"/>
          <w:szCs w:val="21"/>
        </w:rPr>
        <w:t>:</w:t>
      </w:r>
      <w:r w:rsidRPr="00992175">
        <w:rPr>
          <w:rFonts w:cs="Arial"/>
          <w:sz w:val="21"/>
          <w:szCs w:val="21"/>
        </w:rPr>
        <w:t xml:space="preserve"> V9594 F108).</w:t>
      </w:r>
    </w:p>
    <w:p w14:paraId="4598A592" w14:textId="77777777" w:rsidR="00992175" w:rsidRPr="00992175" w:rsidRDefault="00992175" w:rsidP="00992175">
      <w:pPr>
        <w:rPr>
          <w:rFonts w:cs="Arial"/>
          <w:sz w:val="21"/>
          <w:szCs w:val="21"/>
        </w:rPr>
      </w:pPr>
    </w:p>
    <w:p w14:paraId="0C14A0CB" w14:textId="489C0869" w:rsidR="00992175" w:rsidRDefault="00992175" w:rsidP="00992175">
      <w:pPr>
        <w:rPr>
          <w:rFonts w:cs="Arial"/>
          <w:sz w:val="21"/>
          <w:szCs w:val="21"/>
        </w:rPr>
      </w:pPr>
      <w:r w:rsidRPr="00992175">
        <w:rPr>
          <w:rFonts w:cs="Arial"/>
          <w:sz w:val="21"/>
          <w:szCs w:val="21"/>
        </w:rPr>
        <w:t xml:space="preserve">The slab barn was </w:t>
      </w:r>
      <w:r w:rsidR="001C41D5">
        <w:rPr>
          <w:rFonts w:cs="Arial"/>
          <w:sz w:val="21"/>
          <w:szCs w:val="21"/>
        </w:rPr>
        <w:t>removed</w:t>
      </w:r>
      <w:r w:rsidRPr="00992175">
        <w:rPr>
          <w:rFonts w:cs="Arial"/>
          <w:sz w:val="21"/>
          <w:szCs w:val="21"/>
        </w:rPr>
        <w:t xml:space="preserve"> </w:t>
      </w:r>
      <w:r w:rsidR="00B00618">
        <w:rPr>
          <w:rFonts w:cs="Arial"/>
          <w:sz w:val="21"/>
          <w:szCs w:val="21"/>
        </w:rPr>
        <w:t>in c 2010</w:t>
      </w:r>
      <w:r w:rsidRPr="00992175">
        <w:rPr>
          <w:rFonts w:cs="Arial"/>
          <w:sz w:val="21"/>
          <w:szCs w:val="21"/>
        </w:rPr>
        <w:t xml:space="preserve"> (</w:t>
      </w:r>
      <w:r w:rsidR="00396B4B">
        <w:rPr>
          <w:rFonts w:cs="Arial"/>
          <w:sz w:val="21"/>
          <w:szCs w:val="21"/>
        </w:rPr>
        <w:t>Nearmap 2010</w:t>
      </w:r>
      <w:r w:rsidRPr="00992175">
        <w:rPr>
          <w:rFonts w:cs="Arial"/>
          <w:sz w:val="21"/>
          <w:szCs w:val="21"/>
        </w:rPr>
        <w:t>).</w:t>
      </w:r>
    </w:p>
    <w:p w14:paraId="61F15DA0" w14:textId="77777777" w:rsidR="00B00618" w:rsidRDefault="00B00618" w:rsidP="00992175">
      <w:pPr>
        <w:rPr>
          <w:rFonts w:cs="Arial"/>
          <w:sz w:val="21"/>
          <w:szCs w:val="2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580B15" w14:paraId="1A992ED3" w14:textId="77777777" w:rsidTr="00B00618">
        <w:tc>
          <w:tcPr>
            <w:tcW w:w="8296" w:type="dxa"/>
          </w:tcPr>
          <w:p w14:paraId="2E980F8C" w14:textId="39E56704" w:rsidR="00580B15" w:rsidRDefault="00580B15" w:rsidP="00992175">
            <w:pPr>
              <w:rPr>
                <w:rFonts w:cs="Arial"/>
                <w:sz w:val="21"/>
                <w:szCs w:val="21"/>
              </w:rPr>
            </w:pPr>
            <w:r>
              <w:rPr>
                <w:noProof/>
                <w:lang w:eastAsia="en-AU"/>
              </w:rPr>
              <w:drawing>
                <wp:inline distT="0" distB="0" distL="0" distR="0" wp14:anchorId="1E20BD2B" wp14:editId="39A063D0">
                  <wp:extent cx="5056632" cy="325896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3957" t="15084" r="6541" b="8053"/>
                          <a:stretch/>
                        </pic:blipFill>
                        <pic:spPr bwMode="auto">
                          <a:xfrm>
                            <a:off x="0" y="0"/>
                            <a:ext cx="5062657" cy="3262847"/>
                          </a:xfrm>
                          <a:prstGeom prst="rect">
                            <a:avLst/>
                          </a:prstGeom>
                          <a:ln>
                            <a:noFill/>
                          </a:ln>
                          <a:extLst>
                            <a:ext uri="{53640926-AAD7-44D8-BBD7-CCE9431645EC}">
                              <a14:shadowObscured xmlns:a14="http://schemas.microsoft.com/office/drawing/2010/main"/>
                            </a:ext>
                          </a:extLst>
                        </pic:spPr>
                      </pic:pic>
                    </a:graphicData>
                  </a:graphic>
                </wp:inline>
              </w:drawing>
            </w:r>
          </w:p>
        </w:tc>
      </w:tr>
      <w:tr w:rsidR="00580B15" w14:paraId="5C58ABB7" w14:textId="77777777" w:rsidTr="00B00618">
        <w:tc>
          <w:tcPr>
            <w:tcW w:w="8296" w:type="dxa"/>
          </w:tcPr>
          <w:p w14:paraId="01A61AA4" w14:textId="5DC8733D" w:rsidR="00580B15" w:rsidRPr="00B37D8E" w:rsidRDefault="00B37D8E" w:rsidP="00B37D8E">
            <w:pPr>
              <w:pStyle w:val="Caption"/>
              <w:ind w:left="0"/>
              <w:rPr>
                <w:i w:val="0"/>
              </w:rPr>
            </w:pPr>
            <w:r w:rsidRPr="00B37D8E">
              <w:rPr>
                <w:i w:val="0"/>
              </w:rPr>
              <w:t xml:space="preserve">Figure </w:t>
            </w:r>
            <w:r w:rsidRPr="00B37D8E">
              <w:rPr>
                <w:i w:val="0"/>
              </w:rPr>
              <w:fldChar w:fldCharType="begin"/>
            </w:r>
            <w:r w:rsidRPr="00B37D8E">
              <w:rPr>
                <w:i w:val="0"/>
              </w:rPr>
              <w:instrText xml:space="preserve"> SEQ Figure \* ARABIC </w:instrText>
            </w:r>
            <w:r w:rsidRPr="00B37D8E">
              <w:rPr>
                <w:i w:val="0"/>
              </w:rPr>
              <w:fldChar w:fldCharType="separate"/>
            </w:r>
            <w:r w:rsidR="00B00618">
              <w:rPr>
                <w:i w:val="0"/>
                <w:noProof/>
              </w:rPr>
              <w:t>2</w:t>
            </w:r>
            <w:r w:rsidRPr="00B37D8E">
              <w:rPr>
                <w:i w:val="0"/>
              </w:rPr>
              <w:fldChar w:fldCharType="end"/>
            </w:r>
            <w:r w:rsidRPr="00B37D8E">
              <w:rPr>
                <w:i w:val="0"/>
              </w:rPr>
              <w:t xml:space="preserve">: </w:t>
            </w:r>
            <w:r w:rsidR="00580B15" w:rsidRPr="00B37D8E">
              <w:rPr>
                <w:i w:val="0"/>
              </w:rPr>
              <w:t xml:space="preserve">Aerial view of the subject site in 1971. Source: </w:t>
            </w:r>
            <w:r w:rsidR="00644914" w:rsidRPr="00B37D8E">
              <w:rPr>
                <w:i w:val="0"/>
              </w:rPr>
              <w:t xml:space="preserve">Landata. </w:t>
            </w:r>
          </w:p>
        </w:tc>
      </w:tr>
      <w:tr w:rsidR="00DE3767" w14:paraId="498A1B3E" w14:textId="77777777" w:rsidTr="00B00618">
        <w:tc>
          <w:tcPr>
            <w:tcW w:w="8296" w:type="dxa"/>
          </w:tcPr>
          <w:p w14:paraId="15A22A1E" w14:textId="77777777" w:rsidR="00DE3767" w:rsidRDefault="00DE3767" w:rsidP="00B37D8E">
            <w:pPr>
              <w:pStyle w:val="Caption"/>
              <w:ind w:left="0"/>
              <w:rPr>
                <w:noProof/>
              </w:rPr>
            </w:pPr>
          </w:p>
          <w:p w14:paraId="78896239" w14:textId="72887A9F" w:rsidR="00DE3767" w:rsidRPr="00B37D8E" w:rsidRDefault="00B00618" w:rsidP="00B37D8E">
            <w:pPr>
              <w:pStyle w:val="Caption"/>
              <w:ind w:left="0"/>
              <w:rPr>
                <w:i w:val="0"/>
              </w:rPr>
            </w:pPr>
            <w:r>
              <w:rPr>
                <w:noProof/>
              </w:rPr>
              <w:lastRenderedPageBreak/>
              <mc:AlternateContent>
                <mc:Choice Requires="wps">
                  <w:drawing>
                    <wp:anchor distT="0" distB="0" distL="114300" distR="114300" simplePos="0" relativeHeight="251660291" behindDoc="0" locked="0" layoutInCell="1" allowOverlap="1" wp14:anchorId="78D51CE5" wp14:editId="5622995C">
                      <wp:simplePos x="0" y="0"/>
                      <wp:positionH relativeFrom="column">
                        <wp:posOffset>3017012</wp:posOffset>
                      </wp:positionH>
                      <wp:positionV relativeFrom="paragraph">
                        <wp:posOffset>1774571</wp:posOffset>
                      </wp:positionV>
                      <wp:extent cx="241935" cy="300200"/>
                      <wp:effectExtent l="38100" t="19050" r="5715" b="24130"/>
                      <wp:wrapNone/>
                      <wp:docPr id="7" name="Arrow: Down 7"/>
                      <wp:cNvGraphicFramePr/>
                      <a:graphic xmlns:a="http://schemas.openxmlformats.org/drawingml/2006/main">
                        <a:graphicData uri="http://schemas.microsoft.com/office/word/2010/wordprocessingShape">
                          <wps:wsp>
                            <wps:cNvSpPr/>
                            <wps:spPr>
                              <a:xfrm rot="21428425">
                                <a:off x="0" y="0"/>
                                <a:ext cx="241935" cy="300200"/>
                              </a:xfrm>
                              <a:prstGeom prst="downArrow">
                                <a:avLst>
                                  <a:gd name="adj1" fmla="val 58395"/>
                                  <a:gd name="adj2" fmla="val 50000"/>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a="http://schemas.openxmlformats.org/drawingml/2006/main" xmlns:pic="http://schemas.openxmlformats.org/drawingml/2006/picture"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D1EA113">
                    <v:shapetype id="_x0000_t67" coordsize="21600,21600" o:spt="67" adj="16200,5400" path="m0@0l@1@0@1,0@2,0@2@0,21600@0,10800,21600xe" w14:anchorId="4DAC32BF">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Arrow: Down 7" style="position:absolute;margin-left:237.55pt;margin-top:139.75pt;width:19.05pt;height:23.65pt;rotation:-187406fd;z-index:2516602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red" strokecolor="red" strokeweight="1pt" type="#_x0000_t67" adj="12896,4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"/>
                  </w:pict>
                </mc:Fallback>
              </mc:AlternateContent>
            </w:r>
            <w:r w:rsidR="00DE3767">
              <w:rPr>
                <w:noProof/>
              </w:rPr>
              <w:drawing>
                <wp:inline distT="0" distB="0" distL="0" distR="0" wp14:anchorId="613A54A8" wp14:editId="322001E4">
                  <wp:extent cx="4526280" cy="2791304"/>
                  <wp:effectExtent l="0" t="0" r="762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4185" t="19765" r="9319" b="18720"/>
                          <a:stretch/>
                        </pic:blipFill>
                        <pic:spPr bwMode="auto">
                          <a:xfrm>
                            <a:off x="0" y="0"/>
                            <a:ext cx="4533466" cy="2795736"/>
                          </a:xfrm>
                          <a:prstGeom prst="rect">
                            <a:avLst/>
                          </a:prstGeom>
                          <a:ln>
                            <a:noFill/>
                          </a:ln>
                          <a:extLst>
                            <a:ext uri="{53640926-AAD7-44D8-BBD7-CCE9431645EC}">
                              <a14:shadowObscured xmlns:a14="http://schemas.microsoft.com/office/drawing/2010/main"/>
                            </a:ext>
                          </a:extLst>
                        </pic:spPr>
                      </pic:pic>
                    </a:graphicData>
                  </a:graphic>
                </wp:inline>
              </w:drawing>
            </w:r>
          </w:p>
        </w:tc>
      </w:tr>
      <w:tr w:rsidR="00DE3767" w14:paraId="062AF99E" w14:textId="77777777" w:rsidTr="00B00618">
        <w:tc>
          <w:tcPr>
            <w:tcW w:w="8296" w:type="dxa"/>
          </w:tcPr>
          <w:p w14:paraId="0C3C7396" w14:textId="14560C9B" w:rsidR="00DE3767" w:rsidRPr="00B00618" w:rsidRDefault="00B00618" w:rsidP="00B37D8E">
            <w:pPr>
              <w:pStyle w:val="Caption"/>
              <w:ind w:left="0"/>
              <w:rPr>
                <w:i w:val="0"/>
                <w:iCs/>
                <w:noProof/>
              </w:rPr>
            </w:pPr>
            <w:r w:rsidRPr="00B37D8E">
              <w:rPr>
                <w:i w:val="0"/>
              </w:rPr>
              <w:lastRenderedPageBreak/>
              <w:t xml:space="preserve">Figure </w:t>
            </w:r>
            <w:r w:rsidRPr="00B37D8E">
              <w:rPr>
                <w:i w:val="0"/>
              </w:rPr>
              <w:fldChar w:fldCharType="begin"/>
            </w:r>
            <w:r w:rsidRPr="00B37D8E">
              <w:rPr>
                <w:i w:val="0"/>
              </w:rPr>
              <w:instrText xml:space="preserve"> SEQ Figure \* ARABIC </w:instrText>
            </w:r>
            <w:r w:rsidRPr="00B37D8E">
              <w:rPr>
                <w:i w:val="0"/>
              </w:rPr>
              <w:fldChar w:fldCharType="separate"/>
            </w:r>
            <w:r>
              <w:rPr>
                <w:i w:val="0"/>
                <w:noProof/>
              </w:rPr>
              <w:t>3</w:t>
            </w:r>
            <w:r w:rsidRPr="00B37D8E">
              <w:rPr>
                <w:i w:val="0"/>
              </w:rPr>
              <w:fldChar w:fldCharType="end"/>
            </w:r>
            <w:r w:rsidRPr="00B37D8E">
              <w:rPr>
                <w:i w:val="0"/>
              </w:rPr>
              <w:t xml:space="preserve">: </w:t>
            </w:r>
            <w:r>
              <w:rPr>
                <w:i w:val="0"/>
                <w:iCs/>
                <w:noProof/>
              </w:rPr>
              <w:t>Nearmap dated 24 December 2010 shows the subject site. The location of the former slab barn is indicaed with an arrow.  Source: Nearmap</w:t>
            </w:r>
          </w:p>
        </w:tc>
      </w:tr>
    </w:tbl>
    <w:p w14:paraId="2BD1515A" w14:textId="77777777" w:rsidR="00992175" w:rsidRPr="00992175" w:rsidRDefault="00992175" w:rsidP="00992175">
      <w:pPr>
        <w:rPr>
          <w:rFonts w:cs="Arial"/>
          <w:sz w:val="21"/>
          <w:szCs w:val="21"/>
        </w:rPr>
      </w:pPr>
    </w:p>
    <w:p w14:paraId="182AC51C" w14:textId="77777777" w:rsidR="00992175" w:rsidRPr="008726F4" w:rsidRDefault="00992175" w:rsidP="00992175">
      <w:pPr>
        <w:rPr>
          <w:rFonts w:cs="Arial"/>
          <w:i/>
          <w:iCs/>
          <w:sz w:val="21"/>
          <w:szCs w:val="21"/>
        </w:rPr>
      </w:pPr>
      <w:r w:rsidRPr="008726F4">
        <w:rPr>
          <w:rFonts w:cs="Arial"/>
          <w:i/>
          <w:iCs/>
          <w:sz w:val="21"/>
          <w:szCs w:val="21"/>
        </w:rPr>
        <w:t>1988 Reinvestigation by Upper Yarra Valley and Dandenong Ranges Authority</w:t>
      </w:r>
    </w:p>
    <w:p w14:paraId="294E08B1" w14:textId="77777777" w:rsidR="00323F90" w:rsidRPr="00992175" w:rsidRDefault="00323F90" w:rsidP="00992175">
      <w:pPr>
        <w:rPr>
          <w:rFonts w:cs="Arial"/>
          <w:sz w:val="21"/>
          <w:szCs w:val="21"/>
        </w:rPr>
      </w:pPr>
    </w:p>
    <w:p w14:paraId="3BD88DBA" w14:textId="77777777" w:rsidR="00992175" w:rsidRPr="00992175" w:rsidRDefault="00992175" w:rsidP="00992175">
      <w:pPr>
        <w:rPr>
          <w:rFonts w:cs="Arial"/>
          <w:sz w:val="21"/>
          <w:szCs w:val="21"/>
        </w:rPr>
      </w:pPr>
      <w:r w:rsidRPr="00992175">
        <w:rPr>
          <w:rFonts w:cs="Arial"/>
          <w:sz w:val="21"/>
          <w:szCs w:val="21"/>
        </w:rPr>
        <w:t>In 1988 the Upper Yarra Valley and Dandenong Ranges Authority conducted a follow up study of sites and structure of historical and archaeological significance. The condition of currently known sites was reviewed, and a number of sites not identified in the previous study were investigated.</w:t>
      </w:r>
    </w:p>
    <w:p w14:paraId="7DC1E824" w14:textId="77777777" w:rsidR="00992175" w:rsidRPr="00992175" w:rsidRDefault="00992175" w:rsidP="00992175">
      <w:pPr>
        <w:rPr>
          <w:rFonts w:cs="Arial"/>
          <w:sz w:val="21"/>
          <w:szCs w:val="21"/>
        </w:rPr>
      </w:pPr>
    </w:p>
    <w:p w14:paraId="12F3A989" w14:textId="77777777" w:rsidR="00992175" w:rsidRPr="00992175" w:rsidRDefault="00992175" w:rsidP="00992175">
      <w:pPr>
        <w:rPr>
          <w:rFonts w:cs="Arial"/>
          <w:sz w:val="21"/>
          <w:szCs w:val="21"/>
        </w:rPr>
      </w:pPr>
      <w:r w:rsidRPr="00992175">
        <w:rPr>
          <w:rFonts w:cs="Arial"/>
          <w:sz w:val="21"/>
          <w:szCs w:val="21"/>
        </w:rPr>
        <w:t>The Yarra Glen slab homestead and stables was again judged to be of State significance and was recommended for inclusion in the State Register of Historic Buildings.</w:t>
      </w:r>
    </w:p>
    <w:p w14:paraId="41126DF2" w14:textId="351BC3C2" w:rsidR="00D153A4" w:rsidRDefault="00D153A4" w:rsidP="0053253F">
      <w:pPr>
        <w:rPr>
          <w:rFonts w:cs="Arial"/>
          <w:sz w:val="21"/>
          <w:szCs w:val="21"/>
        </w:rPr>
      </w:pPr>
    </w:p>
    <w:p w14:paraId="3935772F" w14:textId="77777777" w:rsidR="00033575" w:rsidRPr="004634C9" w:rsidRDefault="00033575" w:rsidP="0053253F">
      <w:pPr>
        <w:rPr>
          <w:rFonts w:cs="Arial"/>
          <w:sz w:val="21"/>
          <w:szCs w:val="21"/>
        </w:rPr>
      </w:pPr>
    </w:p>
    <w:p w14:paraId="3DC75B64" w14:textId="6F200FAF" w:rsidR="00955B5A" w:rsidRDefault="00F0333B" w:rsidP="00F464D2">
      <w:pPr>
        <w:tabs>
          <w:tab w:val="center" w:pos="4153"/>
        </w:tabs>
        <w:rPr>
          <w:rFonts w:cs="Arial"/>
          <w:b/>
          <w:sz w:val="21"/>
          <w:szCs w:val="21"/>
        </w:rPr>
      </w:pPr>
      <w:r w:rsidRPr="00533CF2">
        <w:rPr>
          <w:rFonts w:cs="Arial"/>
          <w:b/>
          <w:sz w:val="21"/>
          <w:szCs w:val="21"/>
        </w:rPr>
        <w:t>Description &amp; Integrity</w:t>
      </w:r>
      <w:r w:rsidR="00F464D2">
        <w:rPr>
          <w:rFonts w:cs="Arial"/>
          <w:b/>
          <w:sz w:val="21"/>
          <w:szCs w:val="21"/>
        </w:rPr>
        <w:tab/>
      </w:r>
    </w:p>
    <w:p w14:paraId="2409ED43" w14:textId="6A9B4415" w:rsidR="004B3D4D" w:rsidRDefault="004B3D4D" w:rsidP="0053253F">
      <w:pPr>
        <w:rPr>
          <w:rFonts w:cs="Arial"/>
          <w:sz w:val="21"/>
          <w:szCs w:val="21"/>
        </w:rPr>
      </w:pPr>
    </w:p>
    <w:p w14:paraId="383F95C3" w14:textId="77777777" w:rsidR="00B43B34" w:rsidRPr="00E12225" w:rsidRDefault="00B43B34" w:rsidP="00B43B34">
      <w:pPr>
        <w:rPr>
          <w:rFonts w:cs="Arial"/>
          <w:i/>
          <w:iCs/>
          <w:sz w:val="21"/>
          <w:szCs w:val="21"/>
        </w:rPr>
      </w:pPr>
      <w:r w:rsidRPr="00E12225">
        <w:rPr>
          <w:rFonts w:cs="Arial"/>
          <w:i/>
          <w:iCs/>
          <w:sz w:val="21"/>
          <w:szCs w:val="21"/>
        </w:rPr>
        <w:t>This description is limited by reliance on a few photos and plans supplied with the Planning Application and the Tansley citation of 1978.</w:t>
      </w:r>
    </w:p>
    <w:p w14:paraId="7A611D32" w14:textId="77777777" w:rsidR="00B43B34" w:rsidRPr="00B43B34" w:rsidRDefault="00B43B34" w:rsidP="00B43B34">
      <w:pPr>
        <w:rPr>
          <w:rFonts w:cs="Arial"/>
          <w:sz w:val="21"/>
          <w:szCs w:val="21"/>
        </w:rPr>
      </w:pPr>
    </w:p>
    <w:p w14:paraId="7AAA12AD" w14:textId="77777777" w:rsidR="00B43B34" w:rsidRPr="00B43B34" w:rsidRDefault="00B43B34" w:rsidP="00B43B34">
      <w:pPr>
        <w:rPr>
          <w:rFonts w:cs="Arial"/>
          <w:sz w:val="21"/>
          <w:szCs w:val="21"/>
        </w:rPr>
      </w:pPr>
      <w:r w:rsidRPr="00B43B34">
        <w:rPr>
          <w:rFonts w:cs="Arial"/>
          <w:sz w:val="21"/>
          <w:szCs w:val="21"/>
        </w:rPr>
        <w:t>The building is rectangular in plan. The original enclosed area is approximately 5.5m x 16m, and the verandahs were approximately 2m wide. It appears that it originally had four rooms along its length.</w:t>
      </w:r>
    </w:p>
    <w:p w14:paraId="699B7F71" w14:textId="77777777" w:rsidR="00B43B34" w:rsidRPr="00B43B34" w:rsidRDefault="00B43B34" w:rsidP="00B43B34">
      <w:pPr>
        <w:rPr>
          <w:rFonts w:cs="Arial"/>
          <w:sz w:val="21"/>
          <w:szCs w:val="21"/>
        </w:rPr>
      </w:pPr>
    </w:p>
    <w:p w14:paraId="76993774" w14:textId="210D3770" w:rsidR="00B43B34" w:rsidRPr="00B43B34" w:rsidRDefault="00B43B34" w:rsidP="00B43B34">
      <w:pPr>
        <w:rPr>
          <w:rFonts w:cs="Arial"/>
          <w:sz w:val="21"/>
          <w:szCs w:val="21"/>
        </w:rPr>
      </w:pPr>
      <w:r w:rsidRPr="00B43B34">
        <w:rPr>
          <w:rFonts w:cs="Arial"/>
          <w:sz w:val="21"/>
          <w:szCs w:val="21"/>
        </w:rPr>
        <w:t>The house has a moderately steep hip roof with bell-cast verandah on three sides. The verandah is supported on simple square-section hardwood posts. If built in 1870, it is possible that shingles may still have been used originally. Tansley stated in 1978 that the iron on the roof had been recently replaced (Tansley 1978, p.113). If so, it has corroded quite rapidly, or second-hand iron was used. The sheets are short, which may support the</w:t>
      </w:r>
      <w:r w:rsidR="008726F4">
        <w:rPr>
          <w:rFonts w:cs="Arial"/>
          <w:sz w:val="21"/>
          <w:szCs w:val="21"/>
        </w:rPr>
        <w:t xml:space="preserve"> </w:t>
      </w:r>
      <w:r w:rsidRPr="00B43B34">
        <w:rPr>
          <w:rFonts w:cs="Arial"/>
          <w:sz w:val="21"/>
          <w:szCs w:val="21"/>
        </w:rPr>
        <w:t>latter. The narrow strips of un</w:t>
      </w:r>
      <w:r w:rsidR="00F44E57">
        <w:rPr>
          <w:rFonts w:cs="Arial"/>
          <w:sz w:val="21"/>
          <w:szCs w:val="21"/>
        </w:rPr>
        <w:t>-</w:t>
      </w:r>
      <w:r w:rsidRPr="00B43B34">
        <w:rPr>
          <w:rFonts w:cs="Arial"/>
          <w:sz w:val="21"/>
          <w:szCs w:val="21"/>
        </w:rPr>
        <w:t>corroded material at the joints also suggests reuse, with the original lapping pattern not being replicated. Gutters are recent quad section.</w:t>
      </w:r>
    </w:p>
    <w:p w14:paraId="6EF144D7" w14:textId="77777777" w:rsidR="00B43B34" w:rsidRPr="00B43B34" w:rsidRDefault="00B43B34" w:rsidP="00B43B34">
      <w:pPr>
        <w:rPr>
          <w:rFonts w:cs="Arial"/>
          <w:sz w:val="21"/>
          <w:szCs w:val="21"/>
        </w:rPr>
      </w:pPr>
    </w:p>
    <w:p w14:paraId="38EAD4EE" w14:textId="77777777" w:rsidR="00B43B34" w:rsidRPr="00B43B34" w:rsidRDefault="00B43B34" w:rsidP="00B43B34">
      <w:pPr>
        <w:rPr>
          <w:rFonts w:cs="Arial"/>
          <w:sz w:val="21"/>
          <w:szCs w:val="21"/>
        </w:rPr>
      </w:pPr>
      <w:r w:rsidRPr="00B43B34">
        <w:rPr>
          <w:rFonts w:cs="Arial"/>
          <w:sz w:val="21"/>
          <w:szCs w:val="21"/>
        </w:rPr>
        <w:t>The verandahs have been filled in gradually over the years. The earliest ‘extension’ may have been at the back left where a section of the rear slab wall was moved back to form the external wall. The other infills, one on the front right and the other at the rear-right, have either weatherboard of asbestos-cement cladding.</w:t>
      </w:r>
    </w:p>
    <w:p w14:paraId="23F78CCC" w14:textId="77777777" w:rsidR="00B43B34" w:rsidRPr="00B43B34" w:rsidRDefault="00B43B34" w:rsidP="00B43B34">
      <w:pPr>
        <w:rPr>
          <w:rFonts w:cs="Arial"/>
          <w:sz w:val="21"/>
          <w:szCs w:val="21"/>
        </w:rPr>
      </w:pPr>
    </w:p>
    <w:p w14:paraId="6AE13BE2" w14:textId="77777777" w:rsidR="00B43B34" w:rsidRPr="00B43B34" w:rsidRDefault="00B43B34" w:rsidP="00B43B34">
      <w:pPr>
        <w:rPr>
          <w:rFonts w:cs="Arial"/>
          <w:sz w:val="21"/>
          <w:szCs w:val="21"/>
        </w:rPr>
      </w:pPr>
      <w:r w:rsidRPr="00B43B34">
        <w:rPr>
          <w:rFonts w:cs="Arial"/>
          <w:sz w:val="21"/>
          <w:szCs w:val="21"/>
        </w:rPr>
        <w:lastRenderedPageBreak/>
        <w:t>The vertical hardwood slabs are chamfered at the ends and appear to be slotted into mortices in both the top and bottom plates. Most, if not all of the slabs appear to have come from the outside of the log. The inner face may be sawn or split. The bottom-plates or sleepers are on ground where they are visible at the sides and back of the building. It is possible they are supported on shoulders on the posts or on stumps at the front where the ground drops away. Heavy squared corner posts support the top-plates. The quality of the slab finish suggests that the builder was well versed in this form of construction.</w:t>
      </w:r>
    </w:p>
    <w:p w14:paraId="5DC33BC5" w14:textId="77777777" w:rsidR="00B43B34" w:rsidRPr="00B43B34" w:rsidRDefault="00B43B34" w:rsidP="00B43B34">
      <w:pPr>
        <w:rPr>
          <w:rFonts w:cs="Arial"/>
          <w:sz w:val="21"/>
          <w:szCs w:val="21"/>
        </w:rPr>
      </w:pPr>
    </w:p>
    <w:p w14:paraId="25D8D959" w14:textId="3006AF59" w:rsidR="00B43B34" w:rsidRPr="00B43B34" w:rsidRDefault="00B43B34" w:rsidP="00B43B34">
      <w:pPr>
        <w:rPr>
          <w:rFonts w:cs="Arial"/>
          <w:sz w:val="21"/>
          <w:szCs w:val="21"/>
        </w:rPr>
      </w:pPr>
      <w:r w:rsidRPr="00B43B34">
        <w:rPr>
          <w:rFonts w:cs="Arial"/>
          <w:sz w:val="21"/>
          <w:szCs w:val="21"/>
        </w:rPr>
        <w:t>The windows are double four-light sashes with slender frames and glazing bars. Tansley states that parts of the interior are pine board lined (Tansley 1978</w:t>
      </w:r>
      <w:r w:rsidR="00323F90">
        <w:rPr>
          <w:rFonts w:cs="Arial"/>
          <w:sz w:val="21"/>
          <w:szCs w:val="21"/>
        </w:rPr>
        <w:t>:</w:t>
      </w:r>
      <w:r w:rsidRPr="00B43B34">
        <w:rPr>
          <w:rFonts w:cs="Arial"/>
          <w:sz w:val="21"/>
          <w:szCs w:val="21"/>
        </w:rPr>
        <w:t>114). There are two chimneys, one servicing a fireplace in the original interior, which is taller and features a smattering of dark bricks among the red, and a simple corbelling at the top. The other is in a later extension into the rear verandah, and may have serviced a copper.</w:t>
      </w:r>
    </w:p>
    <w:p w14:paraId="0B16EA93" w14:textId="77777777" w:rsidR="00B43B34" w:rsidRPr="00B43B34" w:rsidRDefault="00B43B34" w:rsidP="00B43B34">
      <w:pPr>
        <w:rPr>
          <w:rFonts w:cs="Arial"/>
          <w:sz w:val="21"/>
          <w:szCs w:val="21"/>
        </w:rPr>
      </w:pPr>
    </w:p>
    <w:p w14:paraId="5EA4D53B" w14:textId="0931C892" w:rsidR="0097558C" w:rsidRDefault="00B43B34" w:rsidP="00B43B34">
      <w:pPr>
        <w:rPr>
          <w:rFonts w:cs="Arial"/>
          <w:sz w:val="21"/>
          <w:szCs w:val="21"/>
        </w:rPr>
      </w:pPr>
      <w:r w:rsidRPr="00B43B34">
        <w:rPr>
          <w:rFonts w:cs="Arial"/>
          <w:sz w:val="21"/>
          <w:szCs w:val="21"/>
        </w:rPr>
        <w:t>The main body of the building is in good condition, especially for a slab hut of this age The verandah foundations, posts and roofing are in poorer condition. The building is highly intact for a slab structure. The integrity of the building is moderate to high, with some obscuring of the original form over the years by the verandah infills and some new openings and rearrangement of original walls. There is some loss of original setting, including the relatively recent loss of the slab barn/stables, but new buildings are located at a distance and the original view across the river to the Yarra Flats remains unobscured.</w:t>
      </w:r>
    </w:p>
    <w:p w14:paraId="6029CE37" w14:textId="77777777" w:rsidR="006E17E9" w:rsidRDefault="006E17E9" w:rsidP="0053253F">
      <w:pPr>
        <w:rPr>
          <w:rFonts w:cs="Arial"/>
          <w:sz w:val="21"/>
          <w:szCs w:val="21"/>
        </w:rPr>
      </w:pPr>
    </w:p>
    <w:p w14:paraId="2BDFE654" w14:textId="77777777" w:rsidR="00104F1F" w:rsidRDefault="00F0333B" w:rsidP="007D3802">
      <w:pPr>
        <w:rPr>
          <w:rFonts w:cs="Arial"/>
          <w:b/>
          <w:sz w:val="21"/>
          <w:szCs w:val="21"/>
        </w:rPr>
      </w:pPr>
      <w:r w:rsidRPr="00533CF2">
        <w:rPr>
          <w:rFonts w:cs="Arial"/>
          <w:b/>
          <w:sz w:val="21"/>
          <w:szCs w:val="21"/>
        </w:rPr>
        <w:t>Comparative Analysis</w:t>
      </w:r>
    </w:p>
    <w:p w14:paraId="1A33BD4A" w14:textId="137B04CC" w:rsidR="0063627A" w:rsidRDefault="0063627A" w:rsidP="0053253F">
      <w:pPr>
        <w:rPr>
          <w:rFonts w:cs="Arial"/>
          <w:sz w:val="21"/>
          <w:szCs w:val="21"/>
        </w:rPr>
      </w:pPr>
    </w:p>
    <w:p w14:paraId="5BF70473" w14:textId="77777777" w:rsidR="00D662E2" w:rsidRPr="008726F4" w:rsidRDefault="00D662E2" w:rsidP="00D662E2">
      <w:pPr>
        <w:rPr>
          <w:rFonts w:cs="Arial"/>
          <w:i/>
          <w:iCs/>
          <w:sz w:val="21"/>
          <w:szCs w:val="21"/>
        </w:rPr>
      </w:pPr>
      <w:r w:rsidRPr="008726F4">
        <w:rPr>
          <w:rFonts w:cs="Arial"/>
          <w:i/>
          <w:iCs/>
          <w:sz w:val="21"/>
          <w:szCs w:val="21"/>
        </w:rPr>
        <w:t>History of slab buildings</w:t>
      </w:r>
    </w:p>
    <w:p w14:paraId="2E72935C" w14:textId="41EDA754" w:rsidR="00D662E2" w:rsidRPr="00D662E2" w:rsidRDefault="00D662E2" w:rsidP="00D662E2">
      <w:pPr>
        <w:rPr>
          <w:rFonts w:cs="Arial"/>
          <w:sz w:val="21"/>
          <w:szCs w:val="21"/>
        </w:rPr>
      </w:pPr>
      <w:r w:rsidRPr="00D662E2">
        <w:rPr>
          <w:rFonts w:cs="Arial"/>
          <w:sz w:val="21"/>
          <w:szCs w:val="21"/>
        </w:rPr>
        <w:t>Miles Lewis writes that by the mid-1840s the vast majority of squatters’ residences on the eastern side of Australia were of slab construction (Lewis 2000</w:t>
      </w:r>
      <w:r w:rsidR="00323F90">
        <w:rPr>
          <w:rFonts w:cs="Arial"/>
          <w:sz w:val="21"/>
          <w:szCs w:val="21"/>
        </w:rPr>
        <w:t>:</w:t>
      </w:r>
      <w:r w:rsidRPr="00D662E2">
        <w:rPr>
          <w:rFonts w:cs="Arial"/>
          <w:sz w:val="21"/>
          <w:szCs w:val="21"/>
        </w:rPr>
        <w:t xml:space="preserve">46). Lewis also states that the majority of these squatter slab buildings were of horizontal slab construction </w:t>
      </w:r>
      <w:r w:rsidRPr="00D95E86">
        <w:rPr>
          <w:rFonts w:cs="Arial"/>
          <w:sz w:val="21"/>
          <w:szCs w:val="21"/>
        </w:rPr>
        <w:t xml:space="preserve">(Lewis </w:t>
      </w:r>
      <w:r w:rsidRPr="00D95E86">
        <w:rPr>
          <w:rFonts w:cs="Arial"/>
          <w:i/>
          <w:iCs/>
          <w:sz w:val="21"/>
          <w:szCs w:val="21"/>
        </w:rPr>
        <w:t>Australian Building</w:t>
      </w:r>
      <w:r w:rsidRPr="00D95E86">
        <w:rPr>
          <w:rFonts w:cs="Arial"/>
          <w:sz w:val="21"/>
          <w:szCs w:val="21"/>
        </w:rPr>
        <w:t xml:space="preserve"> Sec.2.4)</w:t>
      </w:r>
      <w:r w:rsidRPr="00D662E2">
        <w:rPr>
          <w:rFonts w:cs="Arial"/>
          <w:sz w:val="21"/>
          <w:szCs w:val="21"/>
        </w:rPr>
        <w:t>. Several of the squatting run stations in this district had slab huts in this period, including the original Haley homestead at Allwood (Marshall 1971</w:t>
      </w:r>
      <w:r w:rsidR="00323F90">
        <w:rPr>
          <w:rFonts w:cs="Arial"/>
          <w:sz w:val="21"/>
          <w:szCs w:val="21"/>
        </w:rPr>
        <w:t>:</w:t>
      </w:r>
      <w:r w:rsidRPr="00D662E2">
        <w:rPr>
          <w:rFonts w:cs="Arial"/>
          <w:sz w:val="21"/>
          <w:szCs w:val="21"/>
        </w:rPr>
        <w:t>78).</w:t>
      </w:r>
    </w:p>
    <w:p w14:paraId="7C8BF341" w14:textId="77777777" w:rsidR="00D662E2" w:rsidRPr="00D662E2" w:rsidRDefault="00D662E2" w:rsidP="00D662E2">
      <w:pPr>
        <w:rPr>
          <w:rFonts w:cs="Arial"/>
          <w:sz w:val="21"/>
          <w:szCs w:val="21"/>
        </w:rPr>
      </w:pPr>
    </w:p>
    <w:p w14:paraId="25175ACE" w14:textId="46CF3278" w:rsidR="006E17E9" w:rsidRDefault="00D662E2" w:rsidP="00D662E2">
      <w:pPr>
        <w:rPr>
          <w:rFonts w:cs="Arial"/>
          <w:sz w:val="21"/>
          <w:szCs w:val="21"/>
        </w:rPr>
      </w:pPr>
      <w:r w:rsidRPr="00D662E2">
        <w:rPr>
          <w:rFonts w:cs="Arial"/>
          <w:sz w:val="21"/>
          <w:szCs w:val="21"/>
        </w:rPr>
        <w:t>Later slab huts in the district were largely constructed by gold diggers and smallholders and are modest, typically small buildings. A 1927 article in the Advertiser on the coming centenary of settlement (1835-1935) celebrations at Eltham suggested that “in those days most habitations were of crude design, slab and wattle and daub houses being predominant. Traces of these houses may be seen all over the district” (</w:t>
      </w:r>
      <w:r w:rsidR="00F44E57">
        <w:rPr>
          <w:rFonts w:cs="Arial"/>
          <w:i/>
          <w:iCs/>
          <w:sz w:val="21"/>
          <w:szCs w:val="21"/>
        </w:rPr>
        <w:t>Hurstbridge</w:t>
      </w:r>
      <w:r w:rsidR="00D77D92">
        <w:rPr>
          <w:rFonts w:cs="Arial"/>
          <w:i/>
          <w:iCs/>
          <w:sz w:val="21"/>
          <w:szCs w:val="21"/>
        </w:rPr>
        <w:t xml:space="preserve"> </w:t>
      </w:r>
      <w:r w:rsidRPr="00B86771">
        <w:rPr>
          <w:rFonts w:cs="Arial"/>
          <w:i/>
          <w:iCs/>
          <w:sz w:val="21"/>
          <w:szCs w:val="21"/>
        </w:rPr>
        <w:t>Advertiser</w:t>
      </w:r>
      <w:r w:rsidRPr="00D662E2">
        <w:rPr>
          <w:rFonts w:cs="Arial"/>
          <w:sz w:val="21"/>
          <w:szCs w:val="21"/>
        </w:rPr>
        <w:t xml:space="preserve"> 25 March 1927:2). The Heidelberg Shire valuation book for its Greensborough riding in 1885, a broadly comparable area, detailed nine slab residences among the 181 residences listed. The valuation book also reveals that by this time the great majority of residences were of weatherboard on timber frame, with a few of stone and brick (</w:t>
      </w:r>
      <w:r w:rsidR="00D77D92">
        <w:rPr>
          <w:rFonts w:cs="Arial"/>
          <w:sz w:val="21"/>
          <w:szCs w:val="21"/>
        </w:rPr>
        <w:t>RB</w:t>
      </w:r>
      <w:r w:rsidRPr="00D662E2">
        <w:rPr>
          <w:rFonts w:cs="Arial"/>
          <w:sz w:val="21"/>
          <w:szCs w:val="21"/>
        </w:rPr>
        <w:t xml:space="preserve"> </w:t>
      </w:r>
      <w:r w:rsidRPr="00D77D92">
        <w:rPr>
          <w:rFonts w:cs="Arial"/>
          <w:sz w:val="21"/>
          <w:szCs w:val="21"/>
        </w:rPr>
        <w:t>1885</w:t>
      </w:r>
      <w:r w:rsidRPr="00D662E2">
        <w:rPr>
          <w:rFonts w:cs="Arial"/>
          <w:sz w:val="21"/>
          <w:szCs w:val="21"/>
        </w:rPr>
        <w:t>). If one extrapolated over the whole Nillumbik Shire footprint, there might have been dozens of slab residences and a similar number or more again of slab outbuildings extant in this period.</w:t>
      </w:r>
    </w:p>
    <w:p w14:paraId="4E09B557" w14:textId="1F304932" w:rsidR="00086E12" w:rsidRPr="00086E12" w:rsidRDefault="00086E12" w:rsidP="00086E12">
      <w:pPr>
        <w:rPr>
          <w:rFonts w:cs="Arial"/>
          <w:b/>
          <w:bCs/>
          <w:sz w:val="21"/>
          <w:szCs w:val="21"/>
        </w:rPr>
      </w:pPr>
    </w:p>
    <w:p w14:paraId="657EBC0C" w14:textId="1896D4AD" w:rsidR="00086E12" w:rsidRPr="00086E12" w:rsidRDefault="00EE5F23" w:rsidP="00086E12">
      <w:pPr>
        <w:rPr>
          <w:rFonts w:cs="Arial"/>
          <w:sz w:val="21"/>
          <w:szCs w:val="21"/>
        </w:rPr>
      </w:pPr>
      <w:r>
        <w:rPr>
          <w:rFonts w:cs="Arial"/>
          <w:sz w:val="21"/>
          <w:szCs w:val="21"/>
        </w:rPr>
        <w:t xml:space="preserve">Within the Shire of Nillumbik, comparative examples include: </w:t>
      </w:r>
    </w:p>
    <w:p w14:paraId="10D7B855" w14:textId="77777777" w:rsidR="008B4ABC" w:rsidRPr="00086E12" w:rsidRDefault="008B4ABC" w:rsidP="00086E12">
      <w:pPr>
        <w:rPr>
          <w:rFonts w:cs="Arial"/>
          <w:sz w:val="21"/>
          <w:szCs w:val="21"/>
        </w:rPr>
      </w:pPr>
    </w:p>
    <w:p w14:paraId="11612270" w14:textId="390E0F96" w:rsidR="00086E12" w:rsidRPr="008726F4" w:rsidRDefault="00086E12" w:rsidP="00086E12">
      <w:pPr>
        <w:rPr>
          <w:rFonts w:cs="Arial"/>
          <w:i/>
          <w:iCs/>
          <w:sz w:val="21"/>
          <w:szCs w:val="21"/>
        </w:rPr>
      </w:pPr>
      <w:r w:rsidRPr="008726F4">
        <w:rPr>
          <w:rFonts w:cs="Arial"/>
          <w:i/>
          <w:iCs/>
          <w:sz w:val="21"/>
          <w:szCs w:val="21"/>
        </w:rPr>
        <w:t>Drop slab barn Cleir Hills 1394 Heidelberg-Kinglake Rd, Nillumbik Shire HO63</w:t>
      </w:r>
    </w:p>
    <w:p w14:paraId="118B7888" w14:textId="5AAF8783" w:rsidR="00086E12" w:rsidRDefault="00073A3C" w:rsidP="00086E12">
      <w:pPr>
        <w:rPr>
          <w:rFonts w:cs="Arial"/>
          <w:sz w:val="21"/>
          <w:szCs w:val="21"/>
        </w:rPr>
      </w:pPr>
      <w:r>
        <w:rPr>
          <w:noProof/>
          <w:lang w:eastAsia="en-AU"/>
        </w:rPr>
        <w:lastRenderedPageBreak/>
        <w:drawing>
          <wp:anchor distT="0" distB="0" distL="0" distR="0" simplePos="0" relativeHeight="251658240" behindDoc="0" locked="0" layoutInCell="1" allowOverlap="1" wp14:anchorId="1AEE9950" wp14:editId="4E7C5B0B">
            <wp:simplePos x="0" y="0"/>
            <wp:positionH relativeFrom="page">
              <wp:posOffset>1143000</wp:posOffset>
            </wp:positionH>
            <wp:positionV relativeFrom="paragraph">
              <wp:posOffset>152400</wp:posOffset>
            </wp:positionV>
            <wp:extent cx="2070224" cy="1200912"/>
            <wp:effectExtent l="0" t="0" r="0" b="0"/>
            <wp:wrapTopAndBottom/>
            <wp:docPr id="99" name="image51.jpeg" descr="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1.jpeg"/>
                    <pic:cNvPicPr/>
                  </pic:nvPicPr>
                  <pic:blipFill>
                    <a:blip r:embed="rId15" cstate="print"/>
                    <a:stretch>
                      <a:fillRect/>
                    </a:stretch>
                  </pic:blipFill>
                  <pic:spPr>
                    <a:xfrm>
                      <a:off x="0" y="0"/>
                      <a:ext cx="2070224" cy="1200912"/>
                    </a:xfrm>
                    <a:prstGeom prst="rect">
                      <a:avLst/>
                    </a:prstGeom>
                  </pic:spPr>
                </pic:pic>
              </a:graphicData>
            </a:graphic>
          </wp:anchor>
        </w:drawing>
      </w:r>
    </w:p>
    <w:p w14:paraId="77A653A4" w14:textId="5E2CE7BF" w:rsidR="008B4ABC" w:rsidRPr="00AB2763" w:rsidRDefault="00AB2763" w:rsidP="00AB2763">
      <w:pPr>
        <w:rPr>
          <w:rFonts w:cs="Arial"/>
          <w:sz w:val="21"/>
          <w:szCs w:val="21"/>
        </w:rPr>
      </w:pPr>
      <w:r w:rsidRPr="00AB2763">
        <w:rPr>
          <w:rFonts w:cs="Arial"/>
          <w:sz w:val="21"/>
          <w:szCs w:val="21"/>
        </w:rPr>
        <w:t>The late 19th/early 20th century barn is of horizontal drop slab construction. It has a steep gable roof.</w:t>
      </w:r>
      <w:r w:rsidR="00186158">
        <w:rPr>
          <w:rFonts w:cs="Arial"/>
          <w:sz w:val="21"/>
          <w:szCs w:val="21"/>
        </w:rPr>
        <w:t xml:space="preserve"> </w:t>
      </w:r>
      <w:r w:rsidRPr="00AB2763">
        <w:rPr>
          <w:rFonts w:cs="Arial"/>
          <w:sz w:val="21"/>
          <w:szCs w:val="21"/>
        </w:rPr>
        <w:t>The building is considered significant for its association with pioneering orchardist William Gray of Allwood. It is said to demonstrate the kind of buildings erected by the Shire’s early settlers. It is rare as one of four known surviving slab buildings in Nillumbik Shire.</w:t>
      </w:r>
    </w:p>
    <w:p w14:paraId="43CBDE0F" w14:textId="77777777" w:rsidR="00AB2763" w:rsidRPr="00AB2763" w:rsidRDefault="00AB2763" w:rsidP="00AB2763">
      <w:pPr>
        <w:rPr>
          <w:rFonts w:cs="Arial"/>
          <w:sz w:val="21"/>
          <w:szCs w:val="21"/>
        </w:rPr>
      </w:pPr>
    </w:p>
    <w:p w14:paraId="27A5905C" w14:textId="7F12BB04" w:rsidR="00086E12" w:rsidRPr="008726F4" w:rsidRDefault="00AB2763" w:rsidP="00AB2763">
      <w:pPr>
        <w:rPr>
          <w:rFonts w:cs="Arial"/>
          <w:i/>
          <w:iCs/>
          <w:sz w:val="21"/>
          <w:szCs w:val="21"/>
        </w:rPr>
      </w:pPr>
      <w:r w:rsidRPr="008726F4">
        <w:rPr>
          <w:rFonts w:cs="Arial"/>
          <w:i/>
          <w:iCs/>
          <w:sz w:val="21"/>
          <w:szCs w:val="21"/>
        </w:rPr>
        <w:t>Miners Timber Slab Cottage 2 Castle Road North Warrandyte, Nillumbik Shire HO22</w:t>
      </w:r>
    </w:p>
    <w:p w14:paraId="2FC09701" w14:textId="2DF6C35A" w:rsidR="00086E12" w:rsidRDefault="008B4ABC" w:rsidP="00086E12">
      <w:pPr>
        <w:rPr>
          <w:rFonts w:cs="Arial"/>
          <w:sz w:val="21"/>
          <w:szCs w:val="21"/>
        </w:rPr>
      </w:pPr>
      <w:r>
        <w:rPr>
          <w:noProof/>
          <w:lang w:eastAsia="en-AU"/>
        </w:rPr>
        <w:drawing>
          <wp:anchor distT="0" distB="0" distL="0" distR="0" simplePos="0" relativeHeight="251658241" behindDoc="0" locked="0" layoutInCell="1" allowOverlap="1" wp14:anchorId="6EB12A3C" wp14:editId="1DAE3822">
            <wp:simplePos x="0" y="0"/>
            <wp:positionH relativeFrom="page">
              <wp:posOffset>1143000</wp:posOffset>
            </wp:positionH>
            <wp:positionV relativeFrom="paragraph">
              <wp:posOffset>160655</wp:posOffset>
            </wp:positionV>
            <wp:extent cx="1960473" cy="1292352"/>
            <wp:effectExtent l="0" t="0" r="0" b="0"/>
            <wp:wrapTopAndBottom/>
            <wp:docPr id="101" name="image52.jpeg" descr="Miners Timber Slab Cottage 2 Castle Rd Colour 2 - Shire of Eltham Heritage Study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2.jpeg"/>
                    <pic:cNvPicPr/>
                  </pic:nvPicPr>
                  <pic:blipFill>
                    <a:blip r:embed="rId16" cstate="print"/>
                    <a:stretch>
                      <a:fillRect/>
                    </a:stretch>
                  </pic:blipFill>
                  <pic:spPr>
                    <a:xfrm>
                      <a:off x="0" y="0"/>
                      <a:ext cx="1960473" cy="1292352"/>
                    </a:xfrm>
                    <a:prstGeom prst="rect">
                      <a:avLst/>
                    </a:prstGeom>
                  </pic:spPr>
                </pic:pic>
              </a:graphicData>
            </a:graphic>
          </wp:anchor>
        </w:drawing>
      </w:r>
    </w:p>
    <w:p w14:paraId="2EBC6266" w14:textId="77777777" w:rsidR="00086E12" w:rsidRDefault="00086E12" w:rsidP="00086E12">
      <w:pPr>
        <w:rPr>
          <w:rFonts w:cs="Arial"/>
          <w:sz w:val="21"/>
          <w:szCs w:val="21"/>
        </w:rPr>
      </w:pPr>
    </w:p>
    <w:p w14:paraId="030A4DA6" w14:textId="611B2E33" w:rsidR="00086E12" w:rsidRDefault="002C5755" w:rsidP="002C5755">
      <w:pPr>
        <w:rPr>
          <w:rFonts w:cs="Arial"/>
          <w:sz w:val="21"/>
          <w:szCs w:val="21"/>
        </w:rPr>
      </w:pPr>
      <w:r w:rsidRPr="002C5755">
        <w:rPr>
          <w:rFonts w:cs="Arial"/>
          <w:sz w:val="21"/>
          <w:szCs w:val="21"/>
        </w:rPr>
        <w:t>This “pre-1904” cottage is a very small vertical slab building with bark roof. It is in very poor condition.</w:t>
      </w:r>
      <w:r w:rsidR="00186158">
        <w:rPr>
          <w:rFonts w:cs="Arial"/>
          <w:sz w:val="21"/>
          <w:szCs w:val="21"/>
        </w:rPr>
        <w:t xml:space="preserve"> </w:t>
      </w:r>
      <w:r w:rsidRPr="002C5755">
        <w:rPr>
          <w:rFonts w:cs="Arial"/>
          <w:sz w:val="21"/>
          <w:szCs w:val="21"/>
        </w:rPr>
        <w:t>The building is considered technologically and historically significant as a rare surviving slab cottage with bark roof.</w:t>
      </w:r>
    </w:p>
    <w:p w14:paraId="780942E8" w14:textId="77777777" w:rsidR="002C5755" w:rsidRDefault="002C5755" w:rsidP="002C5755">
      <w:pPr>
        <w:rPr>
          <w:rFonts w:cs="Arial"/>
          <w:sz w:val="21"/>
          <w:szCs w:val="21"/>
        </w:rPr>
      </w:pPr>
    </w:p>
    <w:p w14:paraId="65C70A69" w14:textId="77777777" w:rsidR="002C5755" w:rsidRDefault="002C5755" w:rsidP="002C5755">
      <w:pPr>
        <w:rPr>
          <w:rFonts w:cs="Arial"/>
          <w:sz w:val="21"/>
          <w:szCs w:val="21"/>
        </w:rPr>
      </w:pPr>
    </w:p>
    <w:p w14:paraId="06249BA9" w14:textId="791C7176" w:rsidR="002C5755" w:rsidRPr="008726F4" w:rsidRDefault="00523543" w:rsidP="002C5755">
      <w:pPr>
        <w:rPr>
          <w:rFonts w:cs="Arial"/>
          <w:i/>
          <w:iCs/>
          <w:sz w:val="21"/>
          <w:szCs w:val="21"/>
        </w:rPr>
      </w:pPr>
      <w:r w:rsidRPr="008726F4">
        <w:rPr>
          <w:rFonts w:cs="Arial"/>
          <w:i/>
          <w:iCs/>
          <w:sz w:val="21"/>
          <w:szCs w:val="21"/>
        </w:rPr>
        <w:t>Timber slab farm building 365 Wattle Glen-Kangaroo Ground Rd, Nillumbik Shire HO107</w:t>
      </w:r>
    </w:p>
    <w:p w14:paraId="1A8803C4" w14:textId="77777777" w:rsidR="002C5755" w:rsidRDefault="002C5755" w:rsidP="002C5755">
      <w:pPr>
        <w:rPr>
          <w:rFonts w:cs="Arial"/>
          <w:sz w:val="21"/>
          <w:szCs w:val="21"/>
        </w:rPr>
      </w:pPr>
    </w:p>
    <w:p w14:paraId="7A0343D0" w14:textId="1A07534C" w:rsidR="00086E12" w:rsidRDefault="00863B62" w:rsidP="00086E12">
      <w:pPr>
        <w:rPr>
          <w:rFonts w:cs="Arial"/>
          <w:sz w:val="21"/>
          <w:szCs w:val="21"/>
        </w:rPr>
      </w:pPr>
      <w:r>
        <w:rPr>
          <w:rFonts w:ascii="Times New Roman"/>
          <w:noProof/>
          <w:lang w:eastAsia="en-AU"/>
        </w:rPr>
        <w:drawing>
          <wp:inline distT="0" distB="0" distL="0" distR="0" wp14:anchorId="26133EFC" wp14:editId="4B64221D">
            <wp:extent cx="1990501" cy="1176527"/>
            <wp:effectExtent l="0" t="0" r="0" b="0"/>
            <wp:docPr id="103" name="image53.jpeg" descr="Timber Building 365 Kangaroo Ground Wattle Glen Rd Colour - Shire of Eltham Heritage Study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3.jpeg"/>
                    <pic:cNvPicPr/>
                  </pic:nvPicPr>
                  <pic:blipFill>
                    <a:blip r:embed="rId17" cstate="print"/>
                    <a:stretch>
                      <a:fillRect/>
                    </a:stretch>
                  </pic:blipFill>
                  <pic:spPr>
                    <a:xfrm>
                      <a:off x="0" y="0"/>
                      <a:ext cx="1990501" cy="1176527"/>
                    </a:xfrm>
                    <a:prstGeom prst="rect">
                      <a:avLst/>
                    </a:prstGeom>
                  </pic:spPr>
                </pic:pic>
              </a:graphicData>
            </a:graphic>
          </wp:inline>
        </w:drawing>
      </w:r>
    </w:p>
    <w:p w14:paraId="3B144593" w14:textId="73EC5C6E" w:rsidR="00086E12" w:rsidRDefault="008C1546" w:rsidP="008C1546">
      <w:pPr>
        <w:rPr>
          <w:rFonts w:cs="Arial"/>
          <w:sz w:val="21"/>
          <w:szCs w:val="21"/>
        </w:rPr>
      </w:pPr>
      <w:r w:rsidRPr="008C1546">
        <w:rPr>
          <w:rFonts w:cs="Arial"/>
          <w:sz w:val="21"/>
          <w:szCs w:val="21"/>
        </w:rPr>
        <w:t>The late 19th/early 20th century barn is of “drop-slab” construction with a corrugated iron clad gable roof. It is in poor condition.</w:t>
      </w:r>
      <w:r w:rsidR="005F2C09">
        <w:rPr>
          <w:rFonts w:cs="Arial"/>
          <w:sz w:val="21"/>
          <w:szCs w:val="21"/>
        </w:rPr>
        <w:t xml:space="preserve"> </w:t>
      </w:r>
      <w:r w:rsidRPr="008C1546">
        <w:rPr>
          <w:rFonts w:cs="Arial"/>
          <w:sz w:val="21"/>
          <w:szCs w:val="21"/>
        </w:rPr>
        <w:t>The barn is considered significant as a reminder of the importance of agriculture in the development of the area and as a rare example of the use of vernacular building techniques in the late 19th/early 20th century.</w:t>
      </w:r>
    </w:p>
    <w:p w14:paraId="5F1C8E6E" w14:textId="77777777" w:rsidR="0083337F" w:rsidRDefault="0083337F" w:rsidP="008C1546">
      <w:pPr>
        <w:rPr>
          <w:rFonts w:cs="Arial"/>
          <w:sz w:val="21"/>
          <w:szCs w:val="21"/>
        </w:rPr>
      </w:pPr>
    </w:p>
    <w:p w14:paraId="00A5FDDA" w14:textId="77777777" w:rsidR="0083337F" w:rsidRDefault="0083337F" w:rsidP="008C1546">
      <w:pPr>
        <w:rPr>
          <w:rFonts w:cs="Arial"/>
          <w:sz w:val="21"/>
          <w:szCs w:val="21"/>
        </w:rPr>
      </w:pPr>
    </w:p>
    <w:p w14:paraId="0919B2FF" w14:textId="488CD589" w:rsidR="0083337F" w:rsidRPr="008726F4" w:rsidRDefault="0083337F" w:rsidP="008C1546">
      <w:pPr>
        <w:rPr>
          <w:rFonts w:cs="Arial"/>
          <w:i/>
          <w:iCs/>
          <w:sz w:val="21"/>
          <w:szCs w:val="21"/>
        </w:rPr>
      </w:pPr>
      <w:r w:rsidRPr="008726F4">
        <w:rPr>
          <w:rFonts w:cs="Arial"/>
          <w:i/>
          <w:iCs/>
          <w:sz w:val="21"/>
          <w:szCs w:val="21"/>
        </w:rPr>
        <w:t>‘Willowmist’ drop slab outbuilding, 2315 Heidelberg Kinglake Rd St Andrews, Nillumbik Shire HO64</w:t>
      </w:r>
    </w:p>
    <w:p w14:paraId="272CCE34" w14:textId="24FD5A63" w:rsidR="00D662E2" w:rsidRDefault="00705E8B" w:rsidP="00D662E2">
      <w:pPr>
        <w:rPr>
          <w:rFonts w:cs="Arial"/>
          <w:sz w:val="21"/>
          <w:szCs w:val="21"/>
        </w:rPr>
      </w:pPr>
      <w:r>
        <w:rPr>
          <w:noProof/>
          <w:lang w:eastAsia="en-AU"/>
        </w:rPr>
        <w:lastRenderedPageBreak/>
        <w:drawing>
          <wp:anchor distT="0" distB="0" distL="0" distR="0" simplePos="0" relativeHeight="251658242" behindDoc="0" locked="0" layoutInCell="1" allowOverlap="1" wp14:anchorId="26815152" wp14:editId="4A1989F6">
            <wp:simplePos x="0" y="0"/>
            <wp:positionH relativeFrom="page">
              <wp:posOffset>1143000</wp:posOffset>
            </wp:positionH>
            <wp:positionV relativeFrom="paragraph">
              <wp:posOffset>151765</wp:posOffset>
            </wp:positionV>
            <wp:extent cx="2265786" cy="1287303"/>
            <wp:effectExtent l="0" t="0" r="0" b="0"/>
            <wp:wrapTopAndBottom/>
            <wp:docPr id="105" name="image54.jpeg"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4.jpeg"/>
                    <pic:cNvPicPr/>
                  </pic:nvPicPr>
                  <pic:blipFill>
                    <a:blip r:embed="rId18" cstate="print"/>
                    <a:stretch>
                      <a:fillRect/>
                    </a:stretch>
                  </pic:blipFill>
                  <pic:spPr>
                    <a:xfrm>
                      <a:off x="0" y="0"/>
                      <a:ext cx="2265786" cy="1287303"/>
                    </a:xfrm>
                    <a:prstGeom prst="rect">
                      <a:avLst/>
                    </a:prstGeom>
                  </pic:spPr>
                </pic:pic>
              </a:graphicData>
            </a:graphic>
          </wp:anchor>
        </w:drawing>
      </w:r>
    </w:p>
    <w:p w14:paraId="518939D5" w14:textId="298C3B5C" w:rsidR="008C1546" w:rsidRDefault="003777BE" w:rsidP="003777BE">
      <w:pPr>
        <w:rPr>
          <w:rFonts w:cs="Arial"/>
          <w:sz w:val="21"/>
          <w:szCs w:val="21"/>
        </w:rPr>
      </w:pPr>
      <w:r w:rsidRPr="003777BE">
        <w:rPr>
          <w:rFonts w:cs="Arial"/>
          <w:sz w:val="21"/>
          <w:szCs w:val="21"/>
        </w:rPr>
        <w:t>This building is a horizontal drop-slab outbuilding with integrated lean to, constructed in the late 19th/early 20th century.</w:t>
      </w:r>
      <w:r w:rsidR="005F2C09">
        <w:rPr>
          <w:rFonts w:cs="Arial"/>
          <w:sz w:val="21"/>
          <w:szCs w:val="21"/>
        </w:rPr>
        <w:t xml:space="preserve"> </w:t>
      </w:r>
      <w:r w:rsidRPr="003777BE">
        <w:rPr>
          <w:rFonts w:cs="Arial"/>
          <w:sz w:val="21"/>
          <w:szCs w:val="21"/>
        </w:rPr>
        <w:t>The building is considered significant as a good example of a vernacular technology applied to farm outbuildings.</w:t>
      </w:r>
    </w:p>
    <w:p w14:paraId="57E33A51" w14:textId="77777777" w:rsidR="003777BE" w:rsidRDefault="003777BE" w:rsidP="003777BE">
      <w:pPr>
        <w:rPr>
          <w:rFonts w:cs="Arial"/>
          <w:sz w:val="21"/>
          <w:szCs w:val="21"/>
        </w:rPr>
      </w:pPr>
    </w:p>
    <w:p w14:paraId="32FEC959" w14:textId="77777777" w:rsidR="003777BE" w:rsidRDefault="003777BE" w:rsidP="003777BE">
      <w:pPr>
        <w:rPr>
          <w:rFonts w:cs="Arial"/>
          <w:sz w:val="21"/>
          <w:szCs w:val="21"/>
        </w:rPr>
      </w:pPr>
    </w:p>
    <w:p w14:paraId="592E3533" w14:textId="5C9984B6" w:rsidR="003777BE" w:rsidRPr="008726F4" w:rsidRDefault="00D232AE" w:rsidP="003777BE">
      <w:pPr>
        <w:rPr>
          <w:rFonts w:cs="Arial"/>
          <w:i/>
          <w:iCs/>
          <w:sz w:val="21"/>
          <w:szCs w:val="21"/>
        </w:rPr>
      </w:pPr>
      <w:r w:rsidRPr="008726F4">
        <w:rPr>
          <w:rFonts w:cs="Arial"/>
          <w:i/>
          <w:iCs/>
          <w:sz w:val="21"/>
          <w:szCs w:val="21"/>
        </w:rPr>
        <w:t>Bells cottage off Gellibrand Place Lower Plenty, Nillumbik Shire HO59</w:t>
      </w:r>
    </w:p>
    <w:p w14:paraId="142148AB" w14:textId="5BED8D94" w:rsidR="0060496A" w:rsidRDefault="0060496A" w:rsidP="003777BE">
      <w:pPr>
        <w:rPr>
          <w:rFonts w:cs="Arial"/>
          <w:sz w:val="21"/>
          <w:szCs w:val="21"/>
        </w:rPr>
      </w:pPr>
      <w:r>
        <w:rPr>
          <w:noProof/>
          <w:lang w:eastAsia="en-AU"/>
        </w:rPr>
        <w:drawing>
          <wp:anchor distT="0" distB="0" distL="0" distR="0" simplePos="0" relativeHeight="251658243" behindDoc="0" locked="0" layoutInCell="1" allowOverlap="1" wp14:anchorId="435D4F37" wp14:editId="6DB4D2C2">
            <wp:simplePos x="0" y="0"/>
            <wp:positionH relativeFrom="page">
              <wp:posOffset>1143000</wp:posOffset>
            </wp:positionH>
            <wp:positionV relativeFrom="paragraph">
              <wp:posOffset>160020</wp:posOffset>
            </wp:positionV>
            <wp:extent cx="1815129" cy="1164336"/>
            <wp:effectExtent l="0" t="0" r="0" b="0"/>
            <wp:wrapTopAndBottom/>
            <wp:docPr id="107" name="image55.png" descr="Whatmaugh's Cot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5.png"/>
                    <pic:cNvPicPr/>
                  </pic:nvPicPr>
                  <pic:blipFill>
                    <a:blip r:embed="rId19" cstate="print"/>
                    <a:stretch>
                      <a:fillRect/>
                    </a:stretch>
                  </pic:blipFill>
                  <pic:spPr>
                    <a:xfrm>
                      <a:off x="0" y="0"/>
                      <a:ext cx="1815129" cy="1164336"/>
                    </a:xfrm>
                    <a:prstGeom prst="rect">
                      <a:avLst/>
                    </a:prstGeom>
                  </pic:spPr>
                </pic:pic>
              </a:graphicData>
            </a:graphic>
          </wp:anchor>
        </w:drawing>
      </w:r>
    </w:p>
    <w:p w14:paraId="0FBC8CC9" w14:textId="7F4D9A1C" w:rsidR="00542995" w:rsidRDefault="00C759C2" w:rsidP="006E053C">
      <w:pPr>
        <w:rPr>
          <w:rFonts w:cs="Arial"/>
          <w:sz w:val="21"/>
          <w:szCs w:val="21"/>
        </w:rPr>
      </w:pPr>
      <w:r w:rsidRPr="00C759C2">
        <w:rPr>
          <w:rFonts w:cs="Arial"/>
          <w:sz w:val="21"/>
          <w:szCs w:val="21"/>
        </w:rPr>
        <w:t>The late nineteenth century central bay has a combination of vertical slab and wattle and daub walls with corrugated iron over an earlier bark hipped roof. Later asbestos-cement additions are located at either end.</w:t>
      </w:r>
      <w:r w:rsidR="008726F4">
        <w:rPr>
          <w:rFonts w:cs="Arial"/>
          <w:sz w:val="21"/>
          <w:szCs w:val="21"/>
        </w:rPr>
        <w:t xml:space="preserve"> </w:t>
      </w:r>
      <w:r w:rsidRPr="00C759C2">
        <w:rPr>
          <w:rFonts w:cs="Arial"/>
          <w:sz w:val="21"/>
          <w:szCs w:val="21"/>
        </w:rPr>
        <w:t>The cottage is considered significant for its association with pioneering orchardists including Frederick Flintoff and Robert Whatmaugh. It is considered technically significant as an example of a suite of vernacular building methods including vertical slab, wattle and daub and bark roof.</w:t>
      </w:r>
    </w:p>
    <w:p w14:paraId="496C17AE" w14:textId="52D558AF" w:rsidR="008726F4" w:rsidRDefault="008726F4" w:rsidP="006E053C">
      <w:pPr>
        <w:rPr>
          <w:rFonts w:cs="Arial"/>
          <w:sz w:val="21"/>
          <w:szCs w:val="21"/>
        </w:rPr>
      </w:pPr>
    </w:p>
    <w:p w14:paraId="29E9FDD5" w14:textId="2BC86AA7" w:rsidR="00664FB9" w:rsidRPr="008726F4" w:rsidRDefault="008726F4" w:rsidP="006E053C">
      <w:pPr>
        <w:rPr>
          <w:rFonts w:cs="Arial"/>
          <w:i/>
          <w:iCs/>
          <w:sz w:val="21"/>
          <w:szCs w:val="21"/>
        </w:rPr>
      </w:pPr>
      <w:r w:rsidRPr="008726F4">
        <w:rPr>
          <w:rFonts w:cs="Arial"/>
          <w:i/>
          <w:iCs/>
          <w:sz w:val="21"/>
          <w:szCs w:val="21"/>
        </w:rPr>
        <w:t>Summary</w:t>
      </w:r>
    </w:p>
    <w:p w14:paraId="738F83DF" w14:textId="6E2DBFCD" w:rsidR="00A069E2" w:rsidRPr="00A069E2" w:rsidRDefault="00A069E2" w:rsidP="00A069E2">
      <w:pPr>
        <w:rPr>
          <w:rFonts w:cs="Arial"/>
          <w:sz w:val="21"/>
          <w:szCs w:val="21"/>
        </w:rPr>
      </w:pPr>
      <w:r w:rsidRPr="00A069E2">
        <w:rPr>
          <w:rFonts w:cs="Arial"/>
          <w:sz w:val="21"/>
          <w:szCs w:val="21"/>
        </w:rPr>
        <w:t xml:space="preserve">Among the suite of five slab buildings in the Nillumbik Shire with a heritage overlay, none are earlier than the late nineteenth century. The three outbuildings are of horizontal slab or ‘drop-slab’ construction. The two residences are single room structures and much smaller than the Yarra Glen slab house. They relate in one case to mining, and in the other to small-holding. They are also in poor condition. In all these respects, Yarra Glen is </w:t>
      </w:r>
      <w:r w:rsidR="00EF6713">
        <w:rPr>
          <w:rFonts w:cs="Arial"/>
          <w:sz w:val="21"/>
          <w:szCs w:val="21"/>
        </w:rPr>
        <w:t>distinctive.</w:t>
      </w:r>
    </w:p>
    <w:p w14:paraId="63C2F925" w14:textId="77777777" w:rsidR="00A069E2" w:rsidRPr="00A069E2" w:rsidRDefault="00A069E2" w:rsidP="00A069E2">
      <w:pPr>
        <w:rPr>
          <w:rFonts w:cs="Arial"/>
          <w:sz w:val="21"/>
          <w:szCs w:val="21"/>
        </w:rPr>
      </w:pPr>
    </w:p>
    <w:p w14:paraId="2429B737" w14:textId="77777777" w:rsidR="00A069E2" w:rsidRPr="00A069E2" w:rsidRDefault="00A069E2" w:rsidP="00A069E2">
      <w:pPr>
        <w:rPr>
          <w:rFonts w:cs="Arial"/>
          <w:sz w:val="21"/>
          <w:szCs w:val="21"/>
        </w:rPr>
      </w:pPr>
    </w:p>
    <w:p w14:paraId="4B74C6F9" w14:textId="77777777" w:rsidR="00A069E2" w:rsidRPr="00A069E2" w:rsidRDefault="00A069E2" w:rsidP="00A069E2">
      <w:pPr>
        <w:rPr>
          <w:rFonts w:cs="Arial"/>
          <w:sz w:val="21"/>
          <w:szCs w:val="21"/>
        </w:rPr>
      </w:pPr>
    </w:p>
    <w:p w14:paraId="1C28FBC5" w14:textId="77777777" w:rsidR="00A069E2" w:rsidRPr="00A069E2" w:rsidRDefault="00A069E2" w:rsidP="00A069E2">
      <w:pPr>
        <w:rPr>
          <w:rFonts w:cs="Arial"/>
          <w:sz w:val="21"/>
          <w:szCs w:val="21"/>
        </w:rPr>
      </w:pPr>
    </w:p>
    <w:p w14:paraId="7CB95D29" w14:textId="77777777" w:rsidR="00A617C0" w:rsidRDefault="00A617C0" w:rsidP="00A069E2">
      <w:pPr>
        <w:rPr>
          <w:rFonts w:cs="Arial"/>
          <w:sz w:val="21"/>
          <w:szCs w:val="21"/>
        </w:rPr>
      </w:pPr>
    </w:p>
    <w:p w14:paraId="49154902" w14:textId="77777777" w:rsidR="00A617C0" w:rsidRDefault="00A617C0" w:rsidP="00A617C0">
      <w:pPr>
        <w:rPr>
          <w:rFonts w:cs="Arial"/>
          <w:sz w:val="21"/>
          <w:szCs w:val="21"/>
        </w:rPr>
      </w:pPr>
    </w:p>
    <w:p w14:paraId="40AE08F0" w14:textId="77777777" w:rsidR="00EF6713" w:rsidRDefault="00EF6713">
      <w:pPr>
        <w:overflowPunct/>
        <w:autoSpaceDE/>
        <w:autoSpaceDN/>
        <w:adjustRightInd/>
        <w:jc w:val="left"/>
        <w:textAlignment w:val="auto"/>
        <w:rPr>
          <w:rFonts w:cs="Arial"/>
          <w:b/>
          <w:sz w:val="21"/>
          <w:szCs w:val="21"/>
        </w:rPr>
      </w:pPr>
      <w:r>
        <w:rPr>
          <w:rFonts w:cs="Arial"/>
          <w:b/>
          <w:sz w:val="21"/>
          <w:szCs w:val="21"/>
        </w:rPr>
        <w:br w:type="page"/>
      </w:r>
    </w:p>
    <w:p w14:paraId="509EABCA" w14:textId="6C241E5F" w:rsidR="00A617C0" w:rsidRPr="00533CF2" w:rsidRDefault="00A617C0" w:rsidP="00A617C0">
      <w:pPr>
        <w:rPr>
          <w:rFonts w:cs="Arial"/>
          <w:b/>
          <w:sz w:val="21"/>
          <w:szCs w:val="21"/>
        </w:rPr>
      </w:pPr>
      <w:r w:rsidRPr="00533CF2">
        <w:rPr>
          <w:rFonts w:cs="Arial"/>
          <w:b/>
          <w:sz w:val="21"/>
          <w:szCs w:val="21"/>
        </w:rPr>
        <w:lastRenderedPageBreak/>
        <w:t>Assessment Against Criteria</w:t>
      </w:r>
      <w:r>
        <w:rPr>
          <w:rFonts w:cs="Arial"/>
          <w:b/>
          <w:sz w:val="21"/>
          <w:szCs w:val="21"/>
        </w:rPr>
        <w:t xml:space="preserve"> </w:t>
      </w:r>
    </w:p>
    <w:p w14:paraId="72314AF5" w14:textId="77777777" w:rsidR="00A617C0" w:rsidRPr="00533CF2" w:rsidRDefault="00A617C0" w:rsidP="00A617C0">
      <w:pPr>
        <w:rPr>
          <w:rFonts w:cs="Arial"/>
          <w:sz w:val="21"/>
          <w:szCs w:val="21"/>
        </w:rPr>
      </w:pPr>
    </w:p>
    <w:p w14:paraId="68158C64" w14:textId="77777777" w:rsidR="00A617C0" w:rsidRPr="00533CF2" w:rsidRDefault="00A617C0" w:rsidP="00A617C0">
      <w:pPr>
        <w:rPr>
          <w:rFonts w:cs="Arial"/>
          <w:sz w:val="21"/>
          <w:szCs w:val="21"/>
        </w:rPr>
      </w:pPr>
      <w:r w:rsidRPr="00533CF2">
        <w:rPr>
          <w:rFonts w:cs="Arial"/>
          <w:sz w:val="21"/>
          <w:szCs w:val="21"/>
        </w:rPr>
        <w:t xml:space="preserve">Criteria referred to in </w:t>
      </w:r>
      <w:r w:rsidRPr="00533CF2">
        <w:rPr>
          <w:rFonts w:cs="Arial"/>
          <w:i/>
          <w:sz w:val="21"/>
          <w:szCs w:val="21"/>
        </w:rPr>
        <w:t xml:space="preserve">Practice Note 1: Applying the Heritage Overlay, </w:t>
      </w:r>
      <w:r w:rsidRPr="00533CF2">
        <w:rPr>
          <w:rFonts w:cs="Arial"/>
          <w:sz w:val="21"/>
          <w:szCs w:val="21"/>
        </w:rPr>
        <w:t>Department of Planning and Community Development</w:t>
      </w:r>
      <w:r w:rsidRPr="00533CF2">
        <w:rPr>
          <w:rFonts w:cs="Arial"/>
          <w:i/>
          <w:sz w:val="21"/>
          <w:szCs w:val="21"/>
        </w:rPr>
        <w:t xml:space="preserve">, </w:t>
      </w:r>
      <w:r>
        <w:rPr>
          <w:rFonts w:cs="Arial"/>
          <w:sz w:val="21"/>
          <w:szCs w:val="21"/>
        </w:rPr>
        <w:t>revised July 2015</w:t>
      </w:r>
      <w:r w:rsidRPr="00533CF2">
        <w:rPr>
          <w:rFonts w:cs="Arial"/>
          <w:sz w:val="21"/>
          <w:szCs w:val="21"/>
        </w:rPr>
        <w:t>, modified for the local context.</w:t>
      </w:r>
    </w:p>
    <w:p w14:paraId="1DB7CE0B" w14:textId="77777777" w:rsidR="00A617C0" w:rsidRPr="00533CF2" w:rsidRDefault="00A617C0" w:rsidP="00A617C0">
      <w:pPr>
        <w:rPr>
          <w:rFonts w:cs="Arial"/>
          <w:sz w:val="21"/>
          <w:szCs w:val="21"/>
        </w:rPr>
      </w:pPr>
    </w:p>
    <w:p w14:paraId="2F683D2F" w14:textId="77777777" w:rsidR="00A617C0" w:rsidRPr="00533CF2" w:rsidRDefault="00A617C0" w:rsidP="00A617C0">
      <w:pPr>
        <w:rPr>
          <w:rFonts w:cs="Arial"/>
          <w:sz w:val="21"/>
          <w:szCs w:val="21"/>
        </w:rPr>
      </w:pPr>
    </w:p>
    <w:p w14:paraId="4D000EF6" w14:textId="77777777" w:rsidR="00A617C0" w:rsidRDefault="00A617C0" w:rsidP="00A617C0">
      <w:pPr>
        <w:rPr>
          <w:rFonts w:cs="Arial"/>
          <w:i/>
          <w:iCs/>
          <w:sz w:val="21"/>
          <w:szCs w:val="21"/>
        </w:rPr>
      </w:pPr>
      <w:r w:rsidRPr="3FC870CB">
        <w:rPr>
          <w:rFonts w:cs="Arial"/>
          <w:i/>
          <w:iCs/>
          <w:sz w:val="21"/>
          <w:szCs w:val="21"/>
        </w:rPr>
        <w:t>CRITERION A: Importance to the course or pattern of the Shire of Nillumbik’s cultural or natural history (historical significance).</w:t>
      </w:r>
    </w:p>
    <w:p w14:paraId="30E32F81" w14:textId="77777777" w:rsidR="00AF65C3" w:rsidRPr="00A069E2" w:rsidRDefault="00AF65C3" w:rsidP="00AF65C3">
      <w:pPr>
        <w:rPr>
          <w:rFonts w:cs="Arial"/>
          <w:sz w:val="21"/>
          <w:szCs w:val="21"/>
        </w:rPr>
      </w:pPr>
      <w:r w:rsidRPr="00A069E2">
        <w:rPr>
          <w:rFonts w:cs="Arial"/>
          <w:sz w:val="21"/>
          <w:szCs w:val="21"/>
        </w:rPr>
        <w:t>The Yarra Glen slab residence is of historical significance for its capacity to demonstrate the evolution of a small squatting run in the settled districts through the end of the squatting era and into the era of selection and grazing leases on Crown land.</w:t>
      </w:r>
    </w:p>
    <w:p w14:paraId="50950612" w14:textId="77777777" w:rsidR="00A617C0" w:rsidRPr="00533CF2" w:rsidRDefault="00A617C0" w:rsidP="00A617C0">
      <w:pPr>
        <w:rPr>
          <w:rFonts w:cs="Arial"/>
          <w:sz w:val="21"/>
          <w:szCs w:val="21"/>
        </w:rPr>
      </w:pPr>
    </w:p>
    <w:p w14:paraId="0016B403" w14:textId="77777777" w:rsidR="00A617C0" w:rsidRPr="00533CF2" w:rsidRDefault="00A617C0" w:rsidP="00A617C0">
      <w:pPr>
        <w:rPr>
          <w:rFonts w:cs="Arial"/>
          <w:i/>
          <w:iCs/>
          <w:sz w:val="21"/>
          <w:szCs w:val="21"/>
        </w:rPr>
      </w:pPr>
      <w:r w:rsidRPr="3FC870CB">
        <w:rPr>
          <w:rFonts w:cs="Arial"/>
          <w:i/>
          <w:iCs/>
          <w:sz w:val="21"/>
          <w:szCs w:val="21"/>
        </w:rPr>
        <w:t>CRITERION B: Possession of uncommon, rare or endangered aspects of the Shire of Nillumbik’s cultural or natural history (rarity).</w:t>
      </w:r>
    </w:p>
    <w:p w14:paraId="05445755" w14:textId="7B6C8118" w:rsidR="00A617C0" w:rsidRDefault="00077B83" w:rsidP="00A617C0">
      <w:pPr>
        <w:rPr>
          <w:rFonts w:cs="Arial"/>
          <w:sz w:val="21"/>
          <w:szCs w:val="21"/>
        </w:rPr>
      </w:pPr>
      <w:r w:rsidRPr="00A069E2">
        <w:rPr>
          <w:rFonts w:cs="Arial"/>
          <w:sz w:val="21"/>
          <w:szCs w:val="21"/>
        </w:rPr>
        <w:t>the Yarra Glen slab building is significant as a rare surviving vertical slab residence of substantial size, which appears in good condition with a high level of intactness and integrity. It is a vulnerable building type that has been saved by continuous occupation. With its 1870s date of construction, it is an early surviving building in the Shire of Nillumbik.</w:t>
      </w:r>
    </w:p>
    <w:p w14:paraId="1E031CF6" w14:textId="77777777" w:rsidR="00077B83" w:rsidRPr="004A0E3F" w:rsidRDefault="00077B83" w:rsidP="00A617C0">
      <w:pPr>
        <w:rPr>
          <w:rFonts w:cs="Arial"/>
          <w:iCs/>
          <w:sz w:val="21"/>
          <w:szCs w:val="21"/>
        </w:rPr>
      </w:pPr>
    </w:p>
    <w:p w14:paraId="29D713EB" w14:textId="77777777" w:rsidR="00A617C0" w:rsidRPr="00533CF2" w:rsidRDefault="00A617C0" w:rsidP="00A617C0">
      <w:pPr>
        <w:rPr>
          <w:rFonts w:cs="Arial"/>
          <w:i/>
          <w:iCs/>
          <w:sz w:val="21"/>
          <w:szCs w:val="21"/>
        </w:rPr>
      </w:pPr>
      <w:r w:rsidRPr="3FC870CB">
        <w:rPr>
          <w:rFonts w:cs="Arial"/>
          <w:i/>
          <w:iCs/>
          <w:sz w:val="21"/>
          <w:szCs w:val="21"/>
        </w:rPr>
        <w:t>CRITERION C: Potential to yield information that will contribute to an understanding of the Shire of Nillumbik’s cultural or natural history (research potential).</w:t>
      </w:r>
    </w:p>
    <w:p w14:paraId="3B23DCF5" w14:textId="33D24B9B" w:rsidR="00A617C0" w:rsidRPr="00533CF2" w:rsidRDefault="00077B83" w:rsidP="00A617C0">
      <w:pPr>
        <w:rPr>
          <w:rFonts w:cs="Arial"/>
          <w:sz w:val="21"/>
          <w:szCs w:val="21"/>
        </w:rPr>
      </w:pPr>
      <w:r>
        <w:rPr>
          <w:rFonts w:cs="Arial"/>
          <w:sz w:val="21"/>
          <w:szCs w:val="21"/>
        </w:rPr>
        <w:t>N/A</w:t>
      </w:r>
    </w:p>
    <w:p w14:paraId="69E0684F" w14:textId="77777777" w:rsidR="00A617C0" w:rsidRPr="00533CF2" w:rsidRDefault="00A617C0" w:rsidP="00A617C0">
      <w:pPr>
        <w:rPr>
          <w:rFonts w:cs="Arial"/>
          <w:i/>
          <w:sz w:val="21"/>
          <w:szCs w:val="21"/>
        </w:rPr>
      </w:pPr>
    </w:p>
    <w:p w14:paraId="610E9F93" w14:textId="77777777" w:rsidR="00A617C0" w:rsidRPr="00533CF2" w:rsidRDefault="00A617C0" w:rsidP="00A617C0">
      <w:pPr>
        <w:rPr>
          <w:rFonts w:cs="Arial"/>
          <w:i/>
          <w:sz w:val="21"/>
          <w:szCs w:val="21"/>
        </w:rPr>
      </w:pPr>
      <w:r w:rsidRPr="00533CF2">
        <w:rPr>
          <w:rFonts w:cs="Arial"/>
          <w:i/>
          <w:sz w:val="21"/>
          <w:szCs w:val="21"/>
        </w:rPr>
        <w:t xml:space="preserve">CRITERION D: Importance in demonstrating the principal characteristics of a class of cultural </w:t>
      </w:r>
      <w:r>
        <w:rPr>
          <w:rFonts w:cs="Arial"/>
          <w:i/>
          <w:sz w:val="21"/>
          <w:szCs w:val="21"/>
        </w:rPr>
        <w:t xml:space="preserve">or natural </w:t>
      </w:r>
      <w:r w:rsidRPr="00533CF2">
        <w:rPr>
          <w:rFonts w:cs="Arial"/>
          <w:i/>
          <w:sz w:val="21"/>
          <w:szCs w:val="21"/>
        </w:rPr>
        <w:t xml:space="preserve">places </w:t>
      </w:r>
      <w:r>
        <w:rPr>
          <w:rFonts w:cs="Arial"/>
          <w:i/>
          <w:sz w:val="21"/>
          <w:szCs w:val="21"/>
        </w:rPr>
        <w:t>or</w:t>
      </w:r>
      <w:r w:rsidRPr="00533CF2">
        <w:rPr>
          <w:rFonts w:cs="Arial"/>
          <w:i/>
          <w:sz w:val="21"/>
          <w:szCs w:val="21"/>
        </w:rPr>
        <w:t xml:space="preserve"> </w:t>
      </w:r>
      <w:r>
        <w:rPr>
          <w:rFonts w:cs="Arial"/>
          <w:i/>
          <w:sz w:val="21"/>
          <w:szCs w:val="21"/>
        </w:rPr>
        <w:t>environments</w:t>
      </w:r>
      <w:r w:rsidRPr="00533CF2">
        <w:rPr>
          <w:rFonts w:cs="Arial"/>
          <w:i/>
          <w:sz w:val="21"/>
          <w:szCs w:val="21"/>
        </w:rPr>
        <w:t xml:space="preserve"> (representativeness).</w:t>
      </w:r>
    </w:p>
    <w:p w14:paraId="090CB46E" w14:textId="7BF523B8" w:rsidR="00A617C0" w:rsidRPr="00077B83" w:rsidRDefault="00077B83" w:rsidP="00A617C0">
      <w:pPr>
        <w:rPr>
          <w:rFonts w:cs="Arial"/>
          <w:sz w:val="21"/>
          <w:szCs w:val="21"/>
        </w:rPr>
      </w:pPr>
      <w:r w:rsidRPr="00077B83">
        <w:rPr>
          <w:rFonts w:cs="Arial"/>
          <w:sz w:val="21"/>
          <w:szCs w:val="21"/>
        </w:rPr>
        <w:t>N/A</w:t>
      </w:r>
    </w:p>
    <w:p w14:paraId="47729443" w14:textId="77777777" w:rsidR="00A617C0" w:rsidRPr="00B17B59" w:rsidRDefault="00A617C0" w:rsidP="00A617C0">
      <w:pPr>
        <w:rPr>
          <w:rFonts w:cs="Arial"/>
          <w:sz w:val="21"/>
          <w:szCs w:val="21"/>
        </w:rPr>
      </w:pPr>
    </w:p>
    <w:p w14:paraId="11AE9FF1" w14:textId="77777777" w:rsidR="00A617C0" w:rsidRPr="00533CF2" w:rsidRDefault="00A617C0" w:rsidP="00A617C0">
      <w:pPr>
        <w:rPr>
          <w:rFonts w:cs="Arial"/>
          <w:i/>
          <w:sz w:val="21"/>
          <w:szCs w:val="21"/>
        </w:rPr>
      </w:pPr>
      <w:r w:rsidRPr="00692627">
        <w:rPr>
          <w:rFonts w:cs="Arial"/>
          <w:i/>
          <w:sz w:val="21"/>
          <w:szCs w:val="21"/>
        </w:rPr>
        <w:t>CRITERION E: Importance in exhibiting particular aesthetic characteristics (aesthetic significance).</w:t>
      </w:r>
    </w:p>
    <w:p w14:paraId="733A8C9B" w14:textId="29E65734" w:rsidR="00A617C0" w:rsidRPr="00533CF2" w:rsidRDefault="00077B83" w:rsidP="00A617C0">
      <w:pPr>
        <w:rPr>
          <w:rFonts w:cs="Arial"/>
          <w:sz w:val="21"/>
          <w:szCs w:val="21"/>
        </w:rPr>
      </w:pPr>
      <w:r>
        <w:rPr>
          <w:rFonts w:cs="Arial"/>
          <w:sz w:val="21"/>
          <w:szCs w:val="21"/>
        </w:rPr>
        <w:t>N/A</w:t>
      </w:r>
    </w:p>
    <w:p w14:paraId="28310F05" w14:textId="77777777" w:rsidR="00A617C0" w:rsidRPr="00533CF2" w:rsidRDefault="00A617C0" w:rsidP="00A617C0">
      <w:pPr>
        <w:rPr>
          <w:rFonts w:cs="Arial"/>
          <w:i/>
          <w:sz w:val="21"/>
          <w:szCs w:val="21"/>
        </w:rPr>
      </w:pPr>
    </w:p>
    <w:p w14:paraId="7D19FE44" w14:textId="77777777" w:rsidR="00A617C0" w:rsidRPr="00533CF2" w:rsidRDefault="00A617C0" w:rsidP="00A617C0">
      <w:pPr>
        <w:rPr>
          <w:rFonts w:cs="Arial"/>
          <w:i/>
          <w:sz w:val="21"/>
          <w:szCs w:val="21"/>
        </w:rPr>
      </w:pPr>
      <w:r w:rsidRPr="549E0129">
        <w:rPr>
          <w:rFonts w:cs="Arial"/>
          <w:i/>
          <w:iCs/>
          <w:sz w:val="21"/>
          <w:szCs w:val="21"/>
        </w:rPr>
        <w:t>CRITERION F: Importance in demonstrating a high degree of creative or technical achievement at a particular period (technical significance).</w:t>
      </w:r>
    </w:p>
    <w:p w14:paraId="4F2919EC" w14:textId="77777777" w:rsidR="00A617C0" w:rsidRPr="00533CF2" w:rsidRDefault="00A617C0" w:rsidP="00A617C0">
      <w:pPr>
        <w:rPr>
          <w:rFonts w:cs="Arial"/>
          <w:i/>
          <w:sz w:val="21"/>
          <w:szCs w:val="21"/>
        </w:rPr>
      </w:pPr>
    </w:p>
    <w:p w14:paraId="76D453B0" w14:textId="77777777" w:rsidR="00A617C0" w:rsidRPr="00533CF2" w:rsidRDefault="00A617C0" w:rsidP="00A617C0">
      <w:pPr>
        <w:rPr>
          <w:rFonts w:cs="Arial"/>
          <w:i/>
          <w:sz w:val="21"/>
          <w:szCs w:val="21"/>
        </w:rPr>
      </w:pPr>
      <w:r w:rsidRPr="00533CF2">
        <w:rPr>
          <w:rFonts w:cs="Arial"/>
          <w:i/>
          <w:sz w:val="21"/>
          <w:szCs w:val="21"/>
        </w:rPr>
        <w:t>CRITERION G: Strong or special association with a particular community or cultural group for social, cultural or spiritual reasons. This includes the significance of a place to Indigenous peoples as part of their continuing and developing cultural traditions (social significance).</w:t>
      </w:r>
    </w:p>
    <w:p w14:paraId="4A9B88CA" w14:textId="79D397CF" w:rsidR="00A617C0" w:rsidRPr="00077B83" w:rsidRDefault="00077B83" w:rsidP="00A617C0">
      <w:pPr>
        <w:rPr>
          <w:rFonts w:cs="Arial"/>
          <w:iCs/>
          <w:sz w:val="21"/>
          <w:szCs w:val="21"/>
        </w:rPr>
      </w:pPr>
      <w:r>
        <w:rPr>
          <w:rFonts w:cs="Arial"/>
          <w:iCs/>
          <w:sz w:val="21"/>
          <w:szCs w:val="21"/>
        </w:rPr>
        <w:t>N/A</w:t>
      </w:r>
    </w:p>
    <w:p w14:paraId="4BDB7EFB" w14:textId="77777777" w:rsidR="00A617C0" w:rsidRPr="00533CF2" w:rsidRDefault="00A617C0" w:rsidP="00A617C0">
      <w:pPr>
        <w:rPr>
          <w:rFonts w:cs="Arial"/>
          <w:i/>
          <w:sz w:val="21"/>
          <w:szCs w:val="21"/>
        </w:rPr>
      </w:pPr>
    </w:p>
    <w:p w14:paraId="3EA3359B" w14:textId="77777777" w:rsidR="00A617C0" w:rsidRDefault="00A617C0" w:rsidP="00A617C0">
      <w:pPr>
        <w:rPr>
          <w:rFonts w:cs="Arial"/>
          <w:i/>
          <w:iCs/>
          <w:sz w:val="21"/>
          <w:szCs w:val="21"/>
        </w:rPr>
      </w:pPr>
      <w:r w:rsidRPr="3FC870CB">
        <w:rPr>
          <w:rFonts w:cs="Arial"/>
          <w:i/>
          <w:iCs/>
          <w:sz w:val="21"/>
          <w:szCs w:val="21"/>
        </w:rPr>
        <w:t>CRITERION H: Special association with the life or works of a person, or group of persons, of importance in the Shire of Nillumbik’s history (associative significance).</w:t>
      </w:r>
    </w:p>
    <w:p w14:paraId="3961CA46" w14:textId="3F18BE51" w:rsidR="00A617C0" w:rsidRDefault="00077B83" w:rsidP="00A069E2">
      <w:pPr>
        <w:rPr>
          <w:rFonts w:cs="Arial"/>
          <w:sz w:val="21"/>
          <w:szCs w:val="21"/>
        </w:rPr>
      </w:pPr>
      <w:r>
        <w:rPr>
          <w:rFonts w:cs="Arial"/>
          <w:sz w:val="21"/>
          <w:szCs w:val="21"/>
        </w:rPr>
        <w:t>N/A</w:t>
      </w:r>
    </w:p>
    <w:p w14:paraId="705ED412" w14:textId="73C8E688" w:rsidR="00A069E2" w:rsidRDefault="00A069E2" w:rsidP="006E053C">
      <w:pPr>
        <w:rPr>
          <w:rFonts w:cs="Arial"/>
          <w:sz w:val="21"/>
          <w:szCs w:val="21"/>
        </w:rPr>
      </w:pPr>
    </w:p>
    <w:p w14:paraId="791C7F09" w14:textId="77777777" w:rsidR="00EF6713" w:rsidRDefault="00EF6713">
      <w:pPr>
        <w:overflowPunct/>
        <w:autoSpaceDE/>
        <w:autoSpaceDN/>
        <w:adjustRightInd/>
        <w:jc w:val="left"/>
        <w:textAlignment w:val="auto"/>
        <w:rPr>
          <w:rFonts w:cs="Arial"/>
          <w:b/>
          <w:bCs/>
          <w:sz w:val="21"/>
          <w:szCs w:val="21"/>
        </w:rPr>
      </w:pPr>
      <w:r>
        <w:rPr>
          <w:rFonts w:cs="Arial"/>
          <w:b/>
          <w:bCs/>
          <w:sz w:val="21"/>
          <w:szCs w:val="21"/>
        </w:rPr>
        <w:br w:type="page"/>
      </w:r>
    </w:p>
    <w:p w14:paraId="3C813A76" w14:textId="77777777" w:rsidR="00F0333B" w:rsidRPr="00533CF2" w:rsidRDefault="00F0333B" w:rsidP="0053253F">
      <w:pPr>
        <w:rPr>
          <w:rFonts w:cs="Arial"/>
          <w:b/>
          <w:sz w:val="21"/>
          <w:szCs w:val="21"/>
        </w:rPr>
      </w:pPr>
      <w:r w:rsidRPr="00533CF2">
        <w:rPr>
          <w:rFonts w:cs="Arial"/>
          <w:b/>
          <w:sz w:val="21"/>
          <w:szCs w:val="21"/>
        </w:rPr>
        <w:lastRenderedPageBreak/>
        <w:t xml:space="preserve">Grading </w:t>
      </w:r>
      <w:r w:rsidR="001517D4" w:rsidRPr="00533CF2">
        <w:rPr>
          <w:rFonts w:cs="Arial"/>
          <w:b/>
          <w:sz w:val="21"/>
          <w:szCs w:val="21"/>
        </w:rPr>
        <w:t xml:space="preserve">and </w:t>
      </w:r>
      <w:r w:rsidRPr="00533CF2">
        <w:rPr>
          <w:rFonts w:cs="Arial"/>
          <w:b/>
          <w:sz w:val="21"/>
          <w:szCs w:val="21"/>
        </w:rPr>
        <w:t>Recommendations</w:t>
      </w:r>
    </w:p>
    <w:p w14:paraId="44AC8773" w14:textId="77777777" w:rsidR="004E6328" w:rsidRPr="00533CF2" w:rsidRDefault="004E6328" w:rsidP="0053253F">
      <w:pPr>
        <w:rPr>
          <w:rFonts w:cs="Arial"/>
          <w:sz w:val="21"/>
          <w:szCs w:val="21"/>
        </w:rPr>
      </w:pPr>
    </w:p>
    <w:p w14:paraId="441E4DE5" w14:textId="77777777" w:rsidR="00E241E5" w:rsidRDefault="006E17E9" w:rsidP="3FC870CB">
      <w:pPr>
        <w:rPr>
          <w:rFonts w:cs="Arial"/>
          <w:sz w:val="21"/>
          <w:szCs w:val="21"/>
        </w:rPr>
      </w:pPr>
      <w:r w:rsidRPr="3FC870CB">
        <w:rPr>
          <w:rFonts w:cs="Arial"/>
          <w:sz w:val="21"/>
          <w:szCs w:val="21"/>
        </w:rPr>
        <w:t>Recommended</w:t>
      </w:r>
      <w:r w:rsidR="00831F05" w:rsidRPr="3FC870CB">
        <w:rPr>
          <w:rFonts w:cs="Arial"/>
          <w:sz w:val="21"/>
          <w:szCs w:val="21"/>
        </w:rPr>
        <w:t xml:space="preserve"> for inclusion in the schedule to the Heritage Overlay of the </w:t>
      </w:r>
      <w:r w:rsidR="07C658F1" w:rsidRPr="3FC870CB">
        <w:rPr>
          <w:rFonts w:cs="Arial"/>
          <w:sz w:val="21"/>
          <w:szCs w:val="21"/>
        </w:rPr>
        <w:t>Nil</w:t>
      </w:r>
      <w:r w:rsidR="00C95C44">
        <w:rPr>
          <w:rFonts w:cs="Arial"/>
          <w:sz w:val="21"/>
          <w:szCs w:val="21"/>
        </w:rPr>
        <w:t>l</w:t>
      </w:r>
      <w:r w:rsidR="07C658F1" w:rsidRPr="3FC870CB">
        <w:rPr>
          <w:rFonts w:cs="Arial"/>
          <w:sz w:val="21"/>
          <w:szCs w:val="21"/>
        </w:rPr>
        <w:t>umbik</w:t>
      </w:r>
      <w:r w:rsidR="00831F05" w:rsidRPr="3FC870CB">
        <w:rPr>
          <w:rFonts w:cs="Arial"/>
          <w:sz w:val="21"/>
          <w:szCs w:val="21"/>
          <w:highlight w:val="yellow"/>
        </w:rPr>
        <w:t xml:space="preserve"> </w:t>
      </w:r>
      <w:r w:rsidR="00831F05" w:rsidRPr="3FC870CB">
        <w:rPr>
          <w:rFonts w:cs="Arial"/>
          <w:sz w:val="21"/>
          <w:szCs w:val="21"/>
        </w:rPr>
        <w:t>Planning Scheme.</w:t>
      </w:r>
    </w:p>
    <w:p w14:paraId="2BD3CA81" w14:textId="77777777" w:rsidR="00E241E5" w:rsidRDefault="00E241E5" w:rsidP="3FC870CB"/>
    <w:p w14:paraId="09F9F76B" w14:textId="0FEDAB5D" w:rsidR="004E6328" w:rsidRPr="00533CF2" w:rsidRDefault="075196F8" w:rsidP="3FC870CB">
      <w:pPr>
        <w:rPr>
          <w:rFonts w:eastAsia="Arial" w:cs="Arial"/>
          <w:sz w:val="21"/>
          <w:szCs w:val="21"/>
        </w:rPr>
      </w:pPr>
      <w:r w:rsidRPr="3FC870CB">
        <w:rPr>
          <w:rFonts w:eastAsia="Arial" w:cs="Arial"/>
          <w:color w:val="000000" w:themeColor="text1"/>
          <w:sz w:val="21"/>
          <w:szCs w:val="21"/>
        </w:rPr>
        <w:t>Recommendations for the Schedule to the Heritage Overlay (Clause 43.01) in the Nil</w:t>
      </w:r>
      <w:r w:rsidR="00C95C44">
        <w:rPr>
          <w:rFonts w:eastAsia="Arial" w:cs="Arial"/>
          <w:color w:val="000000" w:themeColor="text1"/>
          <w:sz w:val="21"/>
          <w:szCs w:val="21"/>
        </w:rPr>
        <w:t>l</w:t>
      </w:r>
      <w:r w:rsidRPr="3FC870CB">
        <w:rPr>
          <w:rFonts w:eastAsia="Arial" w:cs="Arial"/>
          <w:color w:val="000000" w:themeColor="text1"/>
          <w:sz w:val="21"/>
          <w:szCs w:val="21"/>
        </w:rPr>
        <w:t>umbik Planning Scheme:</w:t>
      </w:r>
    </w:p>
    <w:p w14:paraId="29D524AA" w14:textId="7DFFC29C" w:rsidR="004E6328" w:rsidRPr="00533CF2" w:rsidRDefault="004E6328" w:rsidP="3FC870CB">
      <w:pPr>
        <w:rPr>
          <w:sz w:val="21"/>
          <w:szCs w:val="21"/>
        </w:rPr>
      </w:pPr>
    </w:p>
    <w:p w14:paraId="70EC5816" w14:textId="77777777" w:rsidR="0007686E" w:rsidRPr="00533CF2" w:rsidRDefault="0007686E" w:rsidP="0053253F">
      <w:pPr>
        <w:rPr>
          <w:rFonts w:cs="Arial"/>
          <w:sz w:val="21"/>
          <w:szCs w:val="21"/>
        </w:rPr>
      </w:pPr>
    </w:p>
    <w:tbl>
      <w:tblPr>
        <w:tblW w:w="0" w:type="auto"/>
        <w:tblLayout w:type="fixed"/>
        <w:tblLook w:val="04A0" w:firstRow="1" w:lastRow="0" w:firstColumn="1" w:lastColumn="0" w:noHBand="0" w:noVBand="1"/>
      </w:tblPr>
      <w:tblGrid>
        <w:gridCol w:w="6053"/>
        <w:gridCol w:w="2242"/>
      </w:tblGrid>
      <w:tr w:rsidR="3FC870CB" w14:paraId="4C5BC047" w14:textId="77777777" w:rsidTr="5B93F2AC">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28052CD6" w14:textId="423F2149"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External Paint Co</w:t>
            </w:r>
            <w:r w:rsidR="00C95C44">
              <w:rPr>
                <w:rFonts w:eastAsia="Arial" w:cs="Arial"/>
                <w:b/>
                <w:bCs/>
                <w:color w:val="000000" w:themeColor="text1"/>
                <w:sz w:val="21"/>
                <w:szCs w:val="21"/>
              </w:rPr>
              <w:t>ntrols</w:t>
            </w:r>
            <w:r w:rsidRPr="3FC870CB">
              <w:rPr>
                <w:rFonts w:eastAsia="Arial" w:cs="Arial"/>
                <w:b/>
                <w:bCs/>
                <w:color w:val="000000" w:themeColor="text1"/>
                <w:sz w:val="21"/>
                <w:szCs w:val="21"/>
              </w:rPr>
              <w:t xml:space="preserve"> </w:t>
            </w:r>
          </w:p>
          <w:p w14:paraId="084DF574" w14:textId="74B9D742"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a permit required to paint an already painted surface?</w:t>
            </w:r>
          </w:p>
        </w:tc>
        <w:tc>
          <w:tcPr>
            <w:tcW w:w="2242" w:type="dxa"/>
            <w:tcBorders>
              <w:top w:val="single" w:sz="6" w:space="0" w:color="auto"/>
              <w:left w:val="single" w:sz="6" w:space="0" w:color="auto"/>
              <w:bottom w:val="single" w:sz="6" w:space="0" w:color="auto"/>
              <w:right w:val="single" w:sz="6" w:space="0" w:color="auto"/>
            </w:tcBorders>
            <w:vAlign w:val="center"/>
          </w:tcPr>
          <w:p w14:paraId="6FE30565" w14:textId="4DABBCCB" w:rsidR="0D33FB3A" w:rsidRDefault="5B93F2AC" w:rsidP="3FC870CB">
            <w:pPr>
              <w:jc w:val="left"/>
              <w:rPr>
                <w:rFonts w:eastAsia="Arial" w:cs="Arial"/>
                <w:color w:val="000000" w:themeColor="text1"/>
                <w:sz w:val="21"/>
                <w:szCs w:val="21"/>
              </w:rPr>
            </w:pPr>
            <w:r w:rsidRPr="5B93F2AC">
              <w:rPr>
                <w:rFonts w:eastAsia="Arial" w:cs="Arial"/>
                <w:color w:val="000000" w:themeColor="text1"/>
                <w:sz w:val="21"/>
                <w:szCs w:val="21"/>
              </w:rPr>
              <w:t>No</w:t>
            </w:r>
          </w:p>
        </w:tc>
      </w:tr>
      <w:tr w:rsidR="3FC870CB" w14:paraId="762BEE28" w14:textId="77777777" w:rsidTr="5B93F2AC">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5C518460" w14:textId="646AA7C0"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Internal Alteration Controls </w:t>
            </w:r>
          </w:p>
          <w:p w14:paraId="63488B45" w14:textId="16918C10"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a permit required for internal alterations?</w:t>
            </w:r>
          </w:p>
        </w:tc>
        <w:tc>
          <w:tcPr>
            <w:tcW w:w="2242" w:type="dxa"/>
            <w:tcBorders>
              <w:top w:val="single" w:sz="6" w:space="0" w:color="auto"/>
              <w:left w:val="single" w:sz="6" w:space="0" w:color="auto"/>
              <w:bottom w:val="single" w:sz="6" w:space="0" w:color="auto"/>
              <w:right w:val="single" w:sz="6" w:space="0" w:color="auto"/>
            </w:tcBorders>
            <w:vAlign w:val="center"/>
          </w:tcPr>
          <w:p w14:paraId="3ECA4109" w14:textId="6E468AB1" w:rsidR="3FC870CB" w:rsidRDefault="00B165FC"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7C2E648C" w14:textId="77777777" w:rsidTr="5B93F2AC">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62B02D6" w14:textId="132DE1D8"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Tree Controls </w:t>
            </w:r>
          </w:p>
          <w:p w14:paraId="056336C2" w14:textId="499E4626"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a permit required to remove a tree?</w:t>
            </w:r>
          </w:p>
        </w:tc>
        <w:tc>
          <w:tcPr>
            <w:tcW w:w="2242" w:type="dxa"/>
            <w:tcBorders>
              <w:top w:val="single" w:sz="6" w:space="0" w:color="auto"/>
              <w:left w:val="single" w:sz="6" w:space="0" w:color="auto"/>
              <w:bottom w:val="single" w:sz="6" w:space="0" w:color="auto"/>
              <w:right w:val="single" w:sz="6" w:space="0" w:color="auto"/>
            </w:tcBorders>
            <w:vAlign w:val="center"/>
          </w:tcPr>
          <w:p w14:paraId="3852C90F" w14:textId="724015AA" w:rsidR="3FC870CB" w:rsidRDefault="00B165FC"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7CCD60ED" w14:textId="77777777" w:rsidTr="5B93F2AC">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4A72CCE2" w14:textId="57BCC460"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Victorian Heritage Register</w:t>
            </w:r>
          </w:p>
          <w:p w14:paraId="6A6B14DB" w14:textId="4A0C234D"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the place included on the Victorian Heritage Register?</w:t>
            </w:r>
          </w:p>
        </w:tc>
        <w:tc>
          <w:tcPr>
            <w:tcW w:w="2242" w:type="dxa"/>
            <w:tcBorders>
              <w:top w:val="single" w:sz="6" w:space="0" w:color="auto"/>
              <w:left w:val="single" w:sz="6" w:space="0" w:color="auto"/>
              <w:bottom w:val="single" w:sz="6" w:space="0" w:color="auto"/>
              <w:right w:val="single" w:sz="6" w:space="0" w:color="auto"/>
            </w:tcBorders>
            <w:vAlign w:val="center"/>
          </w:tcPr>
          <w:p w14:paraId="46BDF8F0" w14:textId="5AB71AC6" w:rsidR="3FC870CB" w:rsidRDefault="00B165FC"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33D8D367" w14:textId="77777777" w:rsidTr="5B93F2AC">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437D71C" w14:textId="354C5292"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Incorporated Plan </w:t>
            </w:r>
          </w:p>
          <w:p w14:paraId="292268A5" w14:textId="52DAB077"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Does an Incorporated Plan apply to the site?</w:t>
            </w:r>
          </w:p>
        </w:tc>
        <w:tc>
          <w:tcPr>
            <w:tcW w:w="2242" w:type="dxa"/>
            <w:tcBorders>
              <w:top w:val="single" w:sz="6" w:space="0" w:color="auto"/>
              <w:left w:val="single" w:sz="6" w:space="0" w:color="auto"/>
              <w:bottom w:val="single" w:sz="6" w:space="0" w:color="auto"/>
              <w:right w:val="single" w:sz="6" w:space="0" w:color="auto"/>
            </w:tcBorders>
            <w:vAlign w:val="center"/>
          </w:tcPr>
          <w:p w14:paraId="3C41C72A" w14:textId="19699A0F" w:rsidR="3FC870CB" w:rsidRDefault="00B165FC"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5A3DF52A" w14:textId="77777777" w:rsidTr="5B93F2AC">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44CD4459" w14:textId="16795FD8"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Outbuildings and fences exemptions </w:t>
            </w:r>
          </w:p>
          <w:p w14:paraId="5CDE858A" w14:textId="223AB61B"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Are there outbuildings and fences which are not exempt from notice and review?</w:t>
            </w:r>
          </w:p>
        </w:tc>
        <w:tc>
          <w:tcPr>
            <w:tcW w:w="2242" w:type="dxa"/>
            <w:tcBorders>
              <w:top w:val="single" w:sz="6" w:space="0" w:color="auto"/>
              <w:left w:val="single" w:sz="6" w:space="0" w:color="auto"/>
              <w:bottom w:val="single" w:sz="6" w:space="0" w:color="auto"/>
              <w:right w:val="single" w:sz="6" w:space="0" w:color="auto"/>
            </w:tcBorders>
            <w:vAlign w:val="center"/>
          </w:tcPr>
          <w:p w14:paraId="213909AE" w14:textId="49391FA1" w:rsidR="3FC870CB" w:rsidRDefault="00EF6713" w:rsidP="3FC870CB">
            <w:pPr>
              <w:jc w:val="left"/>
              <w:rPr>
                <w:rFonts w:eastAsia="Arial" w:cs="Arial"/>
                <w:color w:val="000000" w:themeColor="text1"/>
                <w:sz w:val="21"/>
                <w:szCs w:val="21"/>
              </w:rPr>
            </w:pPr>
            <w:r>
              <w:rPr>
                <w:rFonts w:eastAsia="Arial" w:cs="Arial"/>
                <w:color w:val="000000" w:themeColor="text1"/>
                <w:sz w:val="21"/>
                <w:szCs w:val="21"/>
              </w:rPr>
              <w:t>No</w:t>
            </w:r>
          </w:p>
        </w:tc>
      </w:tr>
      <w:tr w:rsidR="3FC870CB" w14:paraId="4C48904B" w14:textId="77777777" w:rsidTr="5B93F2AC">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912FF96" w14:textId="42CE60B8"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 xml:space="preserve">Prohibited uses may be permitted </w:t>
            </w:r>
          </w:p>
          <w:p w14:paraId="489137A9" w14:textId="5BF08357"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Can a permit be granted to use the place for a use which would otherwise be prohibited?</w:t>
            </w:r>
          </w:p>
        </w:tc>
        <w:tc>
          <w:tcPr>
            <w:tcW w:w="2242" w:type="dxa"/>
            <w:tcBorders>
              <w:top w:val="single" w:sz="6" w:space="0" w:color="auto"/>
              <w:left w:val="single" w:sz="6" w:space="0" w:color="auto"/>
              <w:bottom w:val="single" w:sz="6" w:space="0" w:color="auto"/>
              <w:right w:val="single" w:sz="6" w:space="0" w:color="auto"/>
            </w:tcBorders>
            <w:vAlign w:val="center"/>
          </w:tcPr>
          <w:p w14:paraId="196E7BA8" w14:textId="373190CA" w:rsidR="3FC870CB" w:rsidRDefault="00B165FC" w:rsidP="3FC870CB">
            <w:pPr>
              <w:jc w:val="left"/>
              <w:rPr>
                <w:rFonts w:eastAsia="Arial" w:cs="Arial"/>
                <w:color w:val="000000" w:themeColor="text1"/>
                <w:sz w:val="21"/>
                <w:szCs w:val="21"/>
              </w:rPr>
            </w:pPr>
            <w:r>
              <w:rPr>
                <w:rFonts w:eastAsia="Arial" w:cs="Arial"/>
                <w:color w:val="000000" w:themeColor="text1"/>
                <w:sz w:val="21"/>
                <w:szCs w:val="21"/>
              </w:rPr>
              <w:t xml:space="preserve">No </w:t>
            </w:r>
          </w:p>
        </w:tc>
      </w:tr>
      <w:tr w:rsidR="3FC870CB" w14:paraId="41372DAF" w14:textId="77777777" w:rsidTr="5B93F2AC">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2825C98" w14:textId="47B663C0" w:rsidR="3FC870CB" w:rsidRDefault="3FC870CB" w:rsidP="3FC870CB">
            <w:pPr>
              <w:jc w:val="left"/>
              <w:rPr>
                <w:rFonts w:eastAsia="Arial" w:cs="Arial"/>
                <w:color w:val="000000" w:themeColor="text1"/>
                <w:sz w:val="21"/>
                <w:szCs w:val="21"/>
              </w:rPr>
            </w:pPr>
            <w:r w:rsidRPr="3FC870CB">
              <w:rPr>
                <w:rFonts w:eastAsia="Arial" w:cs="Arial"/>
                <w:b/>
                <w:bCs/>
                <w:color w:val="000000" w:themeColor="text1"/>
                <w:sz w:val="21"/>
                <w:szCs w:val="21"/>
              </w:rPr>
              <w:t>Aboriginal Heritage Place</w:t>
            </w:r>
          </w:p>
          <w:p w14:paraId="141B7B64" w14:textId="60C58DFB" w:rsidR="3FC870CB" w:rsidRDefault="3FC870CB" w:rsidP="3FC870CB">
            <w:pPr>
              <w:jc w:val="left"/>
              <w:rPr>
                <w:rFonts w:eastAsia="Arial" w:cs="Arial"/>
                <w:color w:val="000000" w:themeColor="text1"/>
                <w:sz w:val="21"/>
                <w:szCs w:val="21"/>
              </w:rPr>
            </w:pPr>
            <w:r w:rsidRPr="3FC870CB">
              <w:rPr>
                <w:rFonts w:eastAsia="Arial" w:cs="Arial"/>
                <w:i/>
                <w:iCs/>
                <w:color w:val="000000" w:themeColor="text1"/>
                <w:sz w:val="21"/>
                <w:szCs w:val="21"/>
              </w:rPr>
              <w:t>Is the place an Aboriginal heritage place which is subject to the requirements of the Aboriginal Heritage Act 2006?</w:t>
            </w:r>
          </w:p>
        </w:tc>
        <w:tc>
          <w:tcPr>
            <w:tcW w:w="2242" w:type="dxa"/>
            <w:tcBorders>
              <w:top w:val="single" w:sz="6" w:space="0" w:color="auto"/>
              <w:left w:val="single" w:sz="6" w:space="0" w:color="auto"/>
              <w:bottom w:val="single" w:sz="6" w:space="0" w:color="auto"/>
              <w:right w:val="single" w:sz="6" w:space="0" w:color="auto"/>
            </w:tcBorders>
            <w:vAlign w:val="center"/>
          </w:tcPr>
          <w:p w14:paraId="699742C6" w14:textId="4C28950C" w:rsidR="3FC870CB" w:rsidRDefault="00B165FC" w:rsidP="3FC870CB">
            <w:pPr>
              <w:jc w:val="left"/>
              <w:rPr>
                <w:rFonts w:eastAsia="Arial" w:cs="Arial"/>
                <w:color w:val="000000" w:themeColor="text1"/>
                <w:sz w:val="21"/>
                <w:szCs w:val="21"/>
              </w:rPr>
            </w:pPr>
            <w:r>
              <w:rPr>
                <w:rFonts w:eastAsia="Arial" w:cs="Arial"/>
                <w:color w:val="000000" w:themeColor="text1"/>
                <w:sz w:val="21"/>
                <w:szCs w:val="21"/>
              </w:rPr>
              <w:t xml:space="preserve">No </w:t>
            </w:r>
          </w:p>
        </w:tc>
      </w:tr>
    </w:tbl>
    <w:p w14:paraId="73A3A0C4" w14:textId="743BBF41" w:rsidR="3FC870CB" w:rsidRDefault="3FC870CB" w:rsidP="3FC870CB">
      <w:pPr>
        <w:rPr>
          <w:sz w:val="21"/>
          <w:szCs w:val="21"/>
        </w:rPr>
      </w:pPr>
    </w:p>
    <w:p w14:paraId="62DBF479" w14:textId="48E2DF60" w:rsidR="50767ADB" w:rsidRDefault="50767ADB" w:rsidP="50767ADB">
      <w:pPr>
        <w:rPr>
          <w:sz w:val="21"/>
          <w:szCs w:val="21"/>
        </w:rPr>
      </w:pPr>
    </w:p>
    <w:p w14:paraId="35FC2506" w14:textId="77777777" w:rsidR="00F0333B" w:rsidRPr="001E3CC7" w:rsidRDefault="00F0333B" w:rsidP="0053253F">
      <w:pPr>
        <w:rPr>
          <w:rFonts w:cs="Arial"/>
          <w:b/>
          <w:sz w:val="21"/>
          <w:szCs w:val="21"/>
        </w:rPr>
      </w:pPr>
      <w:r w:rsidRPr="001E3CC7">
        <w:rPr>
          <w:rFonts w:cs="Arial"/>
          <w:b/>
          <w:sz w:val="21"/>
          <w:szCs w:val="21"/>
        </w:rPr>
        <w:t>Identified By</w:t>
      </w:r>
    </w:p>
    <w:p w14:paraId="252539B6" w14:textId="77777777" w:rsidR="00713128" w:rsidRPr="001E3CC7" w:rsidRDefault="00713128" w:rsidP="0053253F">
      <w:pPr>
        <w:rPr>
          <w:rFonts w:cs="Arial"/>
          <w:sz w:val="21"/>
          <w:szCs w:val="21"/>
        </w:rPr>
      </w:pPr>
    </w:p>
    <w:p w14:paraId="4BB010FF" w14:textId="5FD02A44" w:rsidR="00DC4E68" w:rsidRDefault="00B165FC" w:rsidP="00DC4E68">
      <w:pPr>
        <w:rPr>
          <w:rFonts w:cs="Arial"/>
          <w:sz w:val="21"/>
          <w:szCs w:val="21"/>
          <w:lang w:eastAsia="zh-TW"/>
        </w:rPr>
      </w:pPr>
      <w:r>
        <w:rPr>
          <w:rFonts w:cs="Arial"/>
          <w:sz w:val="21"/>
          <w:szCs w:val="21"/>
        </w:rPr>
        <w:t>Sam</w:t>
      </w:r>
      <w:r>
        <w:rPr>
          <w:rFonts w:cs="Arial" w:hint="eastAsia"/>
          <w:sz w:val="21"/>
          <w:szCs w:val="21"/>
          <w:lang w:eastAsia="zh-TW"/>
        </w:rPr>
        <w:t>a</w:t>
      </w:r>
      <w:r>
        <w:rPr>
          <w:rFonts w:cs="Arial"/>
          <w:sz w:val="21"/>
          <w:szCs w:val="21"/>
          <w:lang w:eastAsia="zh-TW"/>
        </w:rPr>
        <w:t xml:space="preserve">ntha Westbrooke Pty Ltd, Dr Peter Mills and Trethowan Architecture </w:t>
      </w:r>
    </w:p>
    <w:p w14:paraId="18DBB61F" w14:textId="77777777" w:rsidR="00935F75" w:rsidRPr="00533CF2" w:rsidRDefault="00935F75" w:rsidP="0053253F">
      <w:pPr>
        <w:rPr>
          <w:rFonts w:cs="Arial"/>
          <w:sz w:val="21"/>
          <w:szCs w:val="21"/>
        </w:rPr>
      </w:pPr>
    </w:p>
    <w:p w14:paraId="403E3E9D" w14:textId="77777777" w:rsidR="00655AB3" w:rsidRDefault="00655AB3" w:rsidP="00655AB3">
      <w:pPr>
        <w:pStyle w:val="BodyText"/>
        <w:rPr>
          <w:b/>
          <w:bCs/>
          <w:color w:val="000000" w:themeColor="text1"/>
        </w:rPr>
      </w:pPr>
      <w:r w:rsidRPr="00781BC5">
        <w:rPr>
          <w:b/>
          <w:bCs/>
          <w:color w:val="000000" w:themeColor="text1"/>
        </w:rPr>
        <w:t>References</w:t>
      </w:r>
    </w:p>
    <w:p w14:paraId="2EF4F4BD" w14:textId="77777777" w:rsidR="00655AB3" w:rsidRPr="00781BC5" w:rsidRDefault="00655AB3" w:rsidP="00655AB3">
      <w:pPr>
        <w:pStyle w:val="BodyText"/>
        <w:rPr>
          <w:b/>
          <w:bCs/>
          <w:color w:val="000000" w:themeColor="text1"/>
        </w:rPr>
      </w:pPr>
    </w:p>
    <w:p w14:paraId="065DB920" w14:textId="77777777" w:rsidR="00655AB3" w:rsidRDefault="00655AB3" w:rsidP="00655AB3">
      <w:pPr>
        <w:rPr>
          <w:rFonts w:cs="Arial"/>
        </w:rPr>
      </w:pPr>
      <w:r w:rsidRPr="00781BC5">
        <w:rPr>
          <w:rFonts w:cs="Arial"/>
          <w:i/>
        </w:rPr>
        <w:t>Advertiser</w:t>
      </w:r>
      <w:r w:rsidRPr="00781BC5">
        <w:rPr>
          <w:rFonts w:cs="Arial"/>
          <w:i/>
          <w:spacing w:val="-2"/>
        </w:rPr>
        <w:t xml:space="preserve"> </w:t>
      </w:r>
      <w:r w:rsidRPr="00781BC5">
        <w:rPr>
          <w:rFonts w:cs="Arial"/>
          <w:i/>
        </w:rPr>
        <w:t>(Hurstbridge)</w:t>
      </w:r>
      <w:r w:rsidRPr="00781BC5">
        <w:rPr>
          <w:rFonts w:cs="Arial"/>
        </w:rPr>
        <w:t>,</w:t>
      </w:r>
      <w:r w:rsidRPr="00781BC5">
        <w:rPr>
          <w:rFonts w:cs="Arial"/>
          <w:spacing w:val="-2"/>
        </w:rPr>
        <w:t xml:space="preserve"> </w:t>
      </w:r>
      <w:r w:rsidRPr="00781BC5">
        <w:rPr>
          <w:rFonts w:cs="Arial"/>
        </w:rPr>
        <w:t>as</w:t>
      </w:r>
      <w:r w:rsidRPr="00781BC5">
        <w:rPr>
          <w:rFonts w:cs="Arial"/>
          <w:spacing w:val="-5"/>
        </w:rPr>
        <w:t xml:space="preserve"> </w:t>
      </w:r>
      <w:r w:rsidRPr="00781BC5">
        <w:rPr>
          <w:rFonts w:cs="Arial"/>
        </w:rPr>
        <w:t>cited.</w:t>
      </w:r>
    </w:p>
    <w:p w14:paraId="5493B885" w14:textId="77777777" w:rsidR="00655AB3" w:rsidRPr="00781BC5" w:rsidRDefault="00655AB3" w:rsidP="00655AB3">
      <w:pPr>
        <w:rPr>
          <w:rFonts w:cs="Arial"/>
        </w:rPr>
      </w:pPr>
    </w:p>
    <w:p w14:paraId="421AB37D" w14:textId="77777777" w:rsidR="00655AB3" w:rsidRDefault="00655AB3" w:rsidP="00655AB3">
      <w:pPr>
        <w:rPr>
          <w:rFonts w:cs="Arial"/>
        </w:rPr>
      </w:pPr>
      <w:r w:rsidRPr="00781BC5">
        <w:rPr>
          <w:rFonts w:cs="Arial"/>
          <w:i/>
        </w:rPr>
        <w:t>Australasian</w:t>
      </w:r>
      <w:r w:rsidRPr="00781BC5">
        <w:rPr>
          <w:rFonts w:cs="Arial"/>
          <w:i/>
          <w:spacing w:val="-2"/>
        </w:rPr>
        <w:t xml:space="preserve"> </w:t>
      </w:r>
      <w:r w:rsidRPr="00781BC5">
        <w:rPr>
          <w:rFonts w:cs="Arial"/>
          <w:i/>
        </w:rPr>
        <w:t>(Melbourne)</w:t>
      </w:r>
      <w:r w:rsidRPr="00781BC5">
        <w:rPr>
          <w:rFonts w:cs="Arial"/>
        </w:rPr>
        <w:t>,</w:t>
      </w:r>
      <w:r w:rsidRPr="00781BC5">
        <w:rPr>
          <w:rFonts w:cs="Arial"/>
          <w:spacing w:val="-2"/>
        </w:rPr>
        <w:t xml:space="preserve"> </w:t>
      </w:r>
      <w:r w:rsidRPr="00781BC5">
        <w:rPr>
          <w:rFonts w:cs="Arial"/>
        </w:rPr>
        <w:t>as</w:t>
      </w:r>
      <w:r w:rsidRPr="00781BC5">
        <w:rPr>
          <w:rFonts w:cs="Arial"/>
          <w:spacing w:val="-4"/>
        </w:rPr>
        <w:t xml:space="preserve"> </w:t>
      </w:r>
      <w:r w:rsidRPr="00781BC5">
        <w:rPr>
          <w:rFonts w:cs="Arial"/>
        </w:rPr>
        <w:t>cited.</w:t>
      </w:r>
    </w:p>
    <w:p w14:paraId="15648ED7" w14:textId="77777777" w:rsidR="00655AB3" w:rsidRPr="00781BC5" w:rsidRDefault="00655AB3" w:rsidP="00655AB3">
      <w:pPr>
        <w:rPr>
          <w:rFonts w:cs="Arial"/>
        </w:rPr>
      </w:pPr>
    </w:p>
    <w:p w14:paraId="4DC88C12" w14:textId="77777777" w:rsidR="00655AB3" w:rsidRDefault="00655AB3" w:rsidP="00655AB3">
      <w:pPr>
        <w:rPr>
          <w:rFonts w:cs="Arial"/>
        </w:rPr>
      </w:pPr>
      <w:r w:rsidRPr="00781BC5">
        <w:rPr>
          <w:rFonts w:cs="Arial"/>
          <w:i/>
        </w:rPr>
        <w:t>Age</w:t>
      </w:r>
      <w:r w:rsidRPr="00781BC5">
        <w:rPr>
          <w:rFonts w:cs="Arial"/>
          <w:i/>
          <w:spacing w:val="-2"/>
        </w:rPr>
        <w:t xml:space="preserve"> </w:t>
      </w:r>
      <w:r w:rsidRPr="00781BC5">
        <w:rPr>
          <w:rFonts w:cs="Arial"/>
          <w:i/>
        </w:rPr>
        <w:t>(Melbourne)</w:t>
      </w:r>
      <w:r w:rsidRPr="00781BC5">
        <w:rPr>
          <w:rFonts w:cs="Arial"/>
        </w:rPr>
        <w:t>,</w:t>
      </w:r>
      <w:r w:rsidRPr="00781BC5">
        <w:rPr>
          <w:rFonts w:cs="Arial"/>
          <w:spacing w:val="-1"/>
        </w:rPr>
        <w:t xml:space="preserve"> </w:t>
      </w:r>
      <w:r w:rsidRPr="00781BC5">
        <w:rPr>
          <w:rFonts w:cs="Arial"/>
        </w:rPr>
        <w:t>as</w:t>
      </w:r>
      <w:r w:rsidRPr="00781BC5">
        <w:rPr>
          <w:rFonts w:cs="Arial"/>
          <w:spacing w:val="-4"/>
        </w:rPr>
        <w:t xml:space="preserve"> </w:t>
      </w:r>
      <w:r w:rsidRPr="00781BC5">
        <w:rPr>
          <w:rFonts w:cs="Arial"/>
        </w:rPr>
        <w:t>cited.</w:t>
      </w:r>
    </w:p>
    <w:p w14:paraId="21B270B3" w14:textId="77777777" w:rsidR="00655AB3" w:rsidRPr="00781BC5" w:rsidRDefault="00655AB3" w:rsidP="00655AB3">
      <w:pPr>
        <w:rPr>
          <w:rFonts w:cs="Arial"/>
        </w:rPr>
      </w:pPr>
    </w:p>
    <w:p w14:paraId="559A348E" w14:textId="77777777" w:rsidR="00655AB3" w:rsidRDefault="00655AB3" w:rsidP="00655AB3">
      <w:pPr>
        <w:rPr>
          <w:rFonts w:cs="Arial"/>
        </w:rPr>
      </w:pPr>
      <w:r w:rsidRPr="00781BC5">
        <w:rPr>
          <w:rFonts w:cs="Arial"/>
          <w:i/>
        </w:rPr>
        <w:t>Argus</w:t>
      </w:r>
      <w:r w:rsidRPr="00781BC5">
        <w:rPr>
          <w:rFonts w:cs="Arial"/>
          <w:i/>
          <w:spacing w:val="-3"/>
        </w:rPr>
        <w:t xml:space="preserve"> </w:t>
      </w:r>
      <w:r w:rsidRPr="00781BC5">
        <w:rPr>
          <w:rFonts w:cs="Arial"/>
          <w:i/>
        </w:rPr>
        <w:t>(Melbourne)</w:t>
      </w:r>
      <w:r w:rsidRPr="00781BC5">
        <w:rPr>
          <w:rFonts w:cs="Arial"/>
        </w:rPr>
        <w:t>,</w:t>
      </w:r>
      <w:r w:rsidRPr="00781BC5">
        <w:rPr>
          <w:rFonts w:cs="Arial"/>
          <w:spacing w:val="-1"/>
        </w:rPr>
        <w:t xml:space="preserve"> </w:t>
      </w:r>
      <w:r w:rsidRPr="00781BC5">
        <w:rPr>
          <w:rFonts w:cs="Arial"/>
        </w:rPr>
        <w:t>as</w:t>
      </w:r>
      <w:r w:rsidRPr="00781BC5">
        <w:rPr>
          <w:rFonts w:cs="Arial"/>
          <w:spacing w:val="-3"/>
        </w:rPr>
        <w:t xml:space="preserve"> </w:t>
      </w:r>
      <w:r w:rsidRPr="00781BC5">
        <w:rPr>
          <w:rFonts w:cs="Arial"/>
        </w:rPr>
        <w:t>cited.</w:t>
      </w:r>
    </w:p>
    <w:p w14:paraId="17DF07E6" w14:textId="77777777" w:rsidR="00655AB3" w:rsidRPr="00781BC5" w:rsidRDefault="00655AB3" w:rsidP="00655AB3">
      <w:pPr>
        <w:rPr>
          <w:rFonts w:cs="Arial"/>
        </w:rPr>
      </w:pPr>
    </w:p>
    <w:p w14:paraId="623ED400" w14:textId="77777777" w:rsidR="00655AB3" w:rsidRDefault="00655AB3" w:rsidP="00655AB3">
      <w:pPr>
        <w:rPr>
          <w:rFonts w:cs="Arial"/>
          <w:spacing w:val="-47"/>
        </w:rPr>
      </w:pPr>
      <w:r w:rsidRPr="00781BC5">
        <w:rPr>
          <w:rFonts w:cs="Arial"/>
        </w:rPr>
        <w:t>Billis, R</w:t>
      </w:r>
      <w:r>
        <w:rPr>
          <w:rFonts w:cs="Arial"/>
        </w:rPr>
        <w:t xml:space="preserve"> </w:t>
      </w:r>
      <w:r w:rsidRPr="00781BC5">
        <w:rPr>
          <w:rFonts w:cs="Arial"/>
        </w:rPr>
        <w:t>V &amp; Keyon</w:t>
      </w:r>
      <w:r>
        <w:rPr>
          <w:rFonts w:cs="Arial"/>
        </w:rPr>
        <w:t xml:space="preserve"> </w:t>
      </w:r>
      <w:r w:rsidRPr="00781BC5">
        <w:rPr>
          <w:rFonts w:cs="Arial"/>
        </w:rPr>
        <w:t>A</w:t>
      </w:r>
      <w:r>
        <w:rPr>
          <w:rFonts w:cs="Arial"/>
        </w:rPr>
        <w:t xml:space="preserve"> </w:t>
      </w:r>
      <w:r w:rsidRPr="00781BC5">
        <w:rPr>
          <w:rFonts w:cs="Arial"/>
        </w:rPr>
        <w:t xml:space="preserve">S, 1932, </w:t>
      </w:r>
      <w:r w:rsidRPr="00781BC5">
        <w:rPr>
          <w:rFonts w:cs="Arial"/>
          <w:i/>
        </w:rPr>
        <w:t>Pastoral Pioneers of Port Phillip</w:t>
      </w:r>
      <w:r w:rsidRPr="00781BC5">
        <w:rPr>
          <w:rFonts w:cs="Arial"/>
        </w:rPr>
        <w:t>, Macmillan, Melbourne.</w:t>
      </w:r>
      <w:r w:rsidRPr="00781BC5">
        <w:rPr>
          <w:rFonts w:cs="Arial"/>
          <w:spacing w:val="-47"/>
        </w:rPr>
        <w:t xml:space="preserve"> </w:t>
      </w:r>
    </w:p>
    <w:p w14:paraId="1F57EEDA" w14:textId="77777777" w:rsidR="00655AB3" w:rsidRDefault="00655AB3" w:rsidP="00655AB3">
      <w:pPr>
        <w:rPr>
          <w:rFonts w:cs="Arial"/>
          <w:spacing w:val="-47"/>
        </w:rPr>
      </w:pPr>
    </w:p>
    <w:p w14:paraId="0B72D56D" w14:textId="77777777" w:rsidR="00655AB3" w:rsidRDefault="00655AB3" w:rsidP="00655AB3">
      <w:pPr>
        <w:rPr>
          <w:rFonts w:cs="Arial"/>
        </w:rPr>
      </w:pPr>
      <w:r w:rsidRPr="00781BC5">
        <w:rPr>
          <w:rFonts w:cs="Arial"/>
        </w:rPr>
        <w:t>Births</w:t>
      </w:r>
      <w:r w:rsidRPr="00781BC5">
        <w:rPr>
          <w:rFonts w:cs="Arial"/>
          <w:spacing w:val="-2"/>
        </w:rPr>
        <w:t xml:space="preserve"> </w:t>
      </w:r>
      <w:r w:rsidRPr="00781BC5">
        <w:rPr>
          <w:rFonts w:cs="Arial"/>
        </w:rPr>
        <w:t>Deaths</w:t>
      </w:r>
      <w:r w:rsidRPr="00781BC5">
        <w:rPr>
          <w:rFonts w:cs="Arial"/>
          <w:spacing w:val="-1"/>
        </w:rPr>
        <w:t xml:space="preserve"> </w:t>
      </w:r>
      <w:r w:rsidRPr="00781BC5">
        <w:rPr>
          <w:rFonts w:cs="Arial"/>
        </w:rPr>
        <w:t>and Marriages</w:t>
      </w:r>
      <w:r w:rsidRPr="00781BC5">
        <w:rPr>
          <w:rFonts w:cs="Arial"/>
          <w:spacing w:val="2"/>
        </w:rPr>
        <w:t xml:space="preserve"> </w:t>
      </w:r>
      <w:r w:rsidRPr="00781BC5">
        <w:rPr>
          <w:rFonts w:cs="Arial"/>
        </w:rPr>
        <w:t>Victoria (BDM), as</w:t>
      </w:r>
      <w:r w:rsidRPr="00781BC5">
        <w:rPr>
          <w:rFonts w:cs="Arial"/>
          <w:spacing w:val="-1"/>
        </w:rPr>
        <w:t xml:space="preserve"> </w:t>
      </w:r>
      <w:r w:rsidRPr="00781BC5">
        <w:rPr>
          <w:rFonts w:cs="Arial"/>
        </w:rPr>
        <w:t>cited.</w:t>
      </w:r>
    </w:p>
    <w:p w14:paraId="4F725ADD" w14:textId="77777777" w:rsidR="00655AB3" w:rsidRPr="00781BC5" w:rsidRDefault="00655AB3" w:rsidP="00655AB3">
      <w:pPr>
        <w:rPr>
          <w:rFonts w:cs="Arial"/>
        </w:rPr>
      </w:pPr>
    </w:p>
    <w:p w14:paraId="7114A6D3" w14:textId="77777777" w:rsidR="00655AB3" w:rsidRDefault="00655AB3" w:rsidP="00655AB3">
      <w:pPr>
        <w:pStyle w:val="BodyText"/>
      </w:pPr>
      <w:r w:rsidRPr="00781BC5">
        <w:t xml:space="preserve">Campbell, Joan 1974, 'Mitchell, David (1829–1916)', </w:t>
      </w:r>
      <w:r w:rsidRPr="00ED14BB">
        <w:rPr>
          <w:i/>
          <w:iCs/>
        </w:rPr>
        <w:t>Australian Dictionary of Biography</w:t>
      </w:r>
      <w:r w:rsidRPr="00781BC5">
        <w:t>, National Centre o</w:t>
      </w:r>
      <w:r>
        <w:t xml:space="preserve">f </w:t>
      </w:r>
      <w:r w:rsidRPr="00781BC5">
        <w:t>Biography,</w:t>
      </w:r>
      <w:r w:rsidRPr="00781BC5">
        <w:rPr>
          <w:spacing w:val="2"/>
        </w:rPr>
        <w:t xml:space="preserve"> </w:t>
      </w:r>
      <w:r w:rsidRPr="00781BC5">
        <w:t>Australian</w:t>
      </w:r>
      <w:r w:rsidRPr="00781BC5">
        <w:rPr>
          <w:spacing w:val="-2"/>
        </w:rPr>
        <w:t xml:space="preserve"> </w:t>
      </w:r>
      <w:r w:rsidRPr="00781BC5">
        <w:t>National University, accessed</w:t>
      </w:r>
      <w:r w:rsidRPr="00781BC5">
        <w:rPr>
          <w:spacing w:val="1"/>
        </w:rPr>
        <w:t xml:space="preserve"> </w:t>
      </w:r>
      <w:r w:rsidRPr="00781BC5">
        <w:t>online</w:t>
      </w:r>
      <w:r w:rsidRPr="00781BC5">
        <w:rPr>
          <w:spacing w:val="2"/>
        </w:rPr>
        <w:t xml:space="preserve"> </w:t>
      </w:r>
      <w:r w:rsidRPr="00781BC5">
        <w:t>24 October</w:t>
      </w:r>
      <w:r w:rsidRPr="00781BC5">
        <w:rPr>
          <w:spacing w:val="-2"/>
        </w:rPr>
        <w:t xml:space="preserve"> </w:t>
      </w:r>
      <w:r w:rsidRPr="00781BC5">
        <w:t>2018.</w:t>
      </w:r>
    </w:p>
    <w:p w14:paraId="4050E4FD" w14:textId="77777777" w:rsidR="00655AB3" w:rsidRPr="00781BC5" w:rsidRDefault="00655AB3" w:rsidP="00655AB3">
      <w:pPr>
        <w:pStyle w:val="BodyText"/>
      </w:pPr>
    </w:p>
    <w:p w14:paraId="7A6D8CF5" w14:textId="77777777" w:rsidR="00655AB3" w:rsidRDefault="00655AB3" w:rsidP="00655AB3">
      <w:pPr>
        <w:pStyle w:val="BodyText"/>
      </w:pPr>
      <w:r w:rsidRPr="00781BC5">
        <w:t>Certificates</w:t>
      </w:r>
      <w:r w:rsidRPr="00781BC5">
        <w:rPr>
          <w:spacing w:val="-4"/>
        </w:rPr>
        <w:t xml:space="preserve"> </w:t>
      </w:r>
      <w:r w:rsidRPr="00781BC5">
        <w:t>of</w:t>
      </w:r>
      <w:r w:rsidRPr="00781BC5">
        <w:rPr>
          <w:spacing w:val="-4"/>
        </w:rPr>
        <w:t xml:space="preserve"> </w:t>
      </w:r>
      <w:r w:rsidRPr="00781BC5">
        <w:t>Title</w:t>
      </w:r>
      <w:r>
        <w:t xml:space="preserve"> (CT)</w:t>
      </w:r>
      <w:r w:rsidRPr="00781BC5">
        <w:t>,</w:t>
      </w:r>
      <w:r w:rsidRPr="00781BC5">
        <w:rPr>
          <w:spacing w:val="-2"/>
        </w:rPr>
        <w:t xml:space="preserve"> </w:t>
      </w:r>
      <w:r w:rsidRPr="00781BC5">
        <w:t>as</w:t>
      </w:r>
      <w:r w:rsidRPr="00781BC5">
        <w:rPr>
          <w:spacing w:val="-4"/>
        </w:rPr>
        <w:t xml:space="preserve"> </w:t>
      </w:r>
      <w:r w:rsidRPr="00781BC5">
        <w:t>cited.</w:t>
      </w:r>
    </w:p>
    <w:p w14:paraId="57C5850B" w14:textId="77777777" w:rsidR="00655AB3" w:rsidRPr="00781BC5" w:rsidRDefault="00655AB3" w:rsidP="00655AB3">
      <w:pPr>
        <w:pStyle w:val="BodyText"/>
      </w:pPr>
    </w:p>
    <w:p w14:paraId="4F8DE284" w14:textId="77777777" w:rsidR="00655AB3" w:rsidRDefault="00655AB3" w:rsidP="00655AB3">
      <w:pPr>
        <w:rPr>
          <w:rFonts w:cs="Arial"/>
        </w:rPr>
      </w:pPr>
      <w:r w:rsidRPr="00781BC5">
        <w:rPr>
          <w:rFonts w:cs="Arial"/>
          <w:i/>
        </w:rPr>
        <w:t>Dandenong</w:t>
      </w:r>
      <w:r w:rsidRPr="00781BC5">
        <w:rPr>
          <w:rFonts w:cs="Arial"/>
          <w:i/>
          <w:spacing w:val="-1"/>
        </w:rPr>
        <w:t xml:space="preserve"> </w:t>
      </w:r>
      <w:r w:rsidRPr="00781BC5">
        <w:rPr>
          <w:rFonts w:cs="Arial"/>
          <w:i/>
        </w:rPr>
        <w:t>Journal</w:t>
      </w:r>
      <w:r w:rsidRPr="00781BC5">
        <w:rPr>
          <w:rFonts w:cs="Arial"/>
        </w:rPr>
        <w:t>,</w:t>
      </w:r>
      <w:r w:rsidRPr="00781BC5">
        <w:rPr>
          <w:rFonts w:cs="Arial"/>
          <w:spacing w:val="-1"/>
        </w:rPr>
        <w:t xml:space="preserve"> </w:t>
      </w:r>
      <w:r w:rsidRPr="00781BC5">
        <w:rPr>
          <w:rFonts w:cs="Arial"/>
        </w:rPr>
        <w:t>as</w:t>
      </w:r>
      <w:r w:rsidRPr="00781BC5">
        <w:rPr>
          <w:rFonts w:cs="Arial"/>
          <w:spacing w:val="-2"/>
        </w:rPr>
        <w:t xml:space="preserve"> </w:t>
      </w:r>
      <w:r w:rsidRPr="00781BC5">
        <w:rPr>
          <w:rFonts w:cs="Arial"/>
        </w:rPr>
        <w:t>cited.</w:t>
      </w:r>
    </w:p>
    <w:p w14:paraId="1137D4E5" w14:textId="77777777" w:rsidR="00655AB3" w:rsidRPr="00781BC5" w:rsidRDefault="00655AB3" w:rsidP="00655AB3">
      <w:pPr>
        <w:rPr>
          <w:rFonts w:cs="Arial"/>
        </w:rPr>
      </w:pPr>
    </w:p>
    <w:p w14:paraId="25EF2118" w14:textId="104F1023" w:rsidR="00655AB3" w:rsidRDefault="00655AB3" w:rsidP="00655AB3">
      <w:pPr>
        <w:pStyle w:val="BodyText"/>
      </w:pPr>
      <w:r w:rsidRPr="0045236A">
        <w:lastRenderedPageBreak/>
        <w:t>Campbell,</w:t>
      </w:r>
      <w:r>
        <w:t xml:space="preserve"> J 1974</w:t>
      </w:r>
      <w:r w:rsidRPr="0045236A">
        <w:t xml:space="preserve"> 'Mitchell, David (1829–1916)', </w:t>
      </w:r>
      <w:r w:rsidRPr="0045236A">
        <w:rPr>
          <w:i/>
          <w:iCs/>
        </w:rPr>
        <w:t>Australian Dictionary of Biography</w:t>
      </w:r>
      <w:r>
        <w:rPr>
          <w:i/>
          <w:iCs/>
        </w:rPr>
        <w:t xml:space="preserve"> </w:t>
      </w:r>
      <w:r>
        <w:t>(p</w:t>
      </w:r>
      <w:r w:rsidRPr="0045236A">
        <w:t xml:space="preserve">ublished first in hardcopy 1974, </w:t>
      </w:r>
      <w:hyperlink r:id="rId20" w:history="1">
        <w:r w:rsidRPr="000C4794">
          <w:rPr>
            <w:rStyle w:val="Hyperlink"/>
          </w:rPr>
          <w:t>https://adb.anu.edu.au/biography/mitchell-david-4209/text6779</w:t>
        </w:r>
      </w:hyperlink>
      <w:r w:rsidRPr="0045236A">
        <w:t>, accessed online 4 April 2022.</w:t>
      </w:r>
    </w:p>
    <w:p w14:paraId="08AEDD5E" w14:textId="77777777" w:rsidR="00655AB3" w:rsidRPr="00781BC5" w:rsidRDefault="00655AB3" w:rsidP="00655AB3">
      <w:pPr>
        <w:pStyle w:val="BodyText"/>
      </w:pPr>
    </w:p>
    <w:p w14:paraId="376F220F" w14:textId="77777777" w:rsidR="00655AB3" w:rsidRDefault="00655AB3" w:rsidP="00655AB3">
      <w:pPr>
        <w:rPr>
          <w:rFonts w:cs="Arial"/>
        </w:rPr>
      </w:pPr>
      <w:r w:rsidRPr="00781BC5">
        <w:rPr>
          <w:rFonts w:cs="Arial"/>
          <w:i/>
        </w:rPr>
        <w:t>Evelyn</w:t>
      </w:r>
      <w:r w:rsidRPr="00781BC5">
        <w:rPr>
          <w:rFonts w:cs="Arial"/>
          <w:i/>
          <w:spacing w:val="-2"/>
        </w:rPr>
        <w:t xml:space="preserve"> </w:t>
      </w:r>
      <w:r w:rsidRPr="00781BC5">
        <w:rPr>
          <w:rFonts w:cs="Arial"/>
          <w:i/>
        </w:rPr>
        <w:t>Observer</w:t>
      </w:r>
      <w:r w:rsidRPr="00781BC5">
        <w:rPr>
          <w:rFonts w:cs="Arial"/>
          <w:i/>
          <w:spacing w:val="2"/>
        </w:rPr>
        <w:t xml:space="preserve"> </w:t>
      </w:r>
      <w:r w:rsidRPr="00781BC5">
        <w:rPr>
          <w:rFonts w:cs="Arial"/>
          <w:i/>
        </w:rPr>
        <w:t>&amp;</w:t>
      </w:r>
      <w:r w:rsidRPr="00781BC5">
        <w:rPr>
          <w:rFonts w:cs="Arial"/>
          <w:i/>
          <w:spacing w:val="-8"/>
        </w:rPr>
        <w:t xml:space="preserve"> </w:t>
      </w:r>
      <w:r w:rsidRPr="00781BC5">
        <w:rPr>
          <w:rFonts w:cs="Arial"/>
          <w:i/>
        </w:rPr>
        <w:t>Bourke</w:t>
      </w:r>
      <w:r w:rsidRPr="00781BC5">
        <w:rPr>
          <w:rFonts w:cs="Arial"/>
          <w:i/>
          <w:spacing w:val="-3"/>
        </w:rPr>
        <w:t xml:space="preserve"> </w:t>
      </w:r>
      <w:r w:rsidRPr="00781BC5">
        <w:rPr>
          <w:rFonts w:cs="Arial"/>
          <w:i/>
        </w:rPr>
        <w:t>East</w:t>
      </w:r>
      <w:r w:rsidRPr="00781BC5">
        <w:rPr>
          <w:rFonts w:cs="Arial"/>
          <w:i/>
          <w:spacing w:val="-2"/>
        </w:rPr>
        <w:t xml:space="preserve"> </w:t>
      </w:r>
      <w:r w:rsidRPr="00781BC5">
        <w:rPr>
          <w:rFonts w:cs="Arial"/>
          <w:i/>
        </w:rPr>
        <w:t>Record</w:t>
      </w:r>
      <w:r w:rsidRPr="00781BC5">
        <w:rPr>
          <w:rFonts w:cs="Arial"/>
          <w:i/>
          <w:spacing w:val="-1"/>
        </w:rPr>
        <w:t xml:space="preserve"> </w:t>
      </w:r>
      <w:r w:rsidRPr="00781BC5">
        <w:rPr>
          <w:rFonts w:cs="Arial"/>
          <w:i/>
        </w:rPr>
        <w:t>(EO&amp;BER)</w:t>
      </w:r>
      <w:r w:rsidRPr="00781BC5">
        <w:rPr>
          <w:rFonts w:cs="Arial"/>
        </w:rPr>
        <w:t>,</w:t>
      </w:r>
      <w:r w:rsidRPr="00781BC5">
        <w:rPr>
          <w:rFonts w:cs="Arial"/>
          <w:spacing w:val="-2"/>
        </w:rPr>
        <w:t xml:space="preserve"> </w:t>
      </w:r>
      <w:r w:rsidRPr="00781BC5">
        <w:rPr>
          <w:rFonts w:cs="Arial"/>
        </w:rPr>
        <w:t>as</w:t>
      </w:r>
      <w:r w:rsidRPr="00781BC5">
        <w:rPr>
          <w:rFonts w:cs="Arial"/>
          <w:spacing w:val="-3"/>
        </w:rPr>
        <w:t xml:space="preserve"> </w:t>
      </w:r>
      <w:r w:rsidRPr="00781BC5">
        <w:rPr>
          <w:rFonts w:cs="Arial"/>
        </w:rPr>
        <w:t>cited.</w:t>
      </w:r>
    </w:p>
    <w:p w14:paraId="3D7A7B28" w14:textId="77777777" w:rsidR="00655AB3" w:rsidRPr="00781BC5" w:rsidRDefault="00655AB3" w:rsidP="00655AB3">
      <w:pPr>
        <w:rPr>
          <w:rFonts w:cs="Arial"/>
        </w:rPr>
      </w:pPr>
    </w:p>
    <w:p w14:paraId="1ED381FA" w14:textId="77777777" w:rsidR="00655AB3" w:rsidRDefault="00655AB3" w:rsidP="00655AB3">
      <w:pPr>
        <w:rPr>
          <w:rFonts w:cs="Arial"/>
        </w:rPr>
      </w:pPr>
      <w:r w:rsidRPr="00781BC5">
        <w:rPr>
          <w:rFonts w:cs="Arial"/>
          <w:i/>
        </w:rPr>
        <w:t>Evelyn</w:t>
      </w:r>
      <w:r w:rsidRPr="00781BC5">
        <w:rPr>
          <w:rFonts w:cs="Arial"/>
          <w:i/>
          <w:spacing w:val="-2"/>
        </w:rPr>
        <w:t xml:space="preserve"> </w:t>
      </w:r>
      <w:r w:rsidRPr="00781BC5">
        <w:rPr>
          <w:rFonts w:cs="Arial"/>
          <w:i/>
        </w:rPr>
        <w:t>Observer</w:t>
      </w:r>
      <w:r w:rsidRPr="00781BC5">
        <w:rPr>
          <w:rFonts w:cs="Arial"/>
          <w:i/>
          <w:spacing w:val="2"/>
        </w:rPr>
        <w:t xml:space="preserve"> </w:t>
      </w:r>
      <w:r w:rsidRPr="00781BC5">
        <w:rPr>
          <w:rFonts w:cs="Arial"/>
          <w:i/>
        </w:rPr>
        <w:t>&amp;</w:t>
      </w:r>
      <w:r w:rsidRPr="00781BC5">
        <w:rPr>
          <w:rFonts w:cs="Arial"/>
          <w:i/>
          <w:spacing w:val="-7"/>
        </w:rPr>
        <w:t xml:space="preserve"> </w:t>
      </w:r>
      <w:r w:rsidRPr="00781BC5">
        <w:rPr>
          <w:rFonts w:cs="Arial"/>
          <w:i/>
        </w:rPr>
        <w:t>South</w:t>
      </w:r>
      <w:r w:rsidRPr="00781BC5">
        <w:rPr>
          <w:rFonts w:cs="Arial"/>
          <w:i/>
          <w:spacing w:val="-1"/>
        </w:rPr>
        <w:t xml:space="preserve"> </w:t>
      </w:r>
      <w:r w:rsidRPr="00781BC5">
        <w:rPr>
          <w:rFonts w:cs="Arial"/>
          <w:i/>
        </w:rPr>
        <w:t>and</w:t>
      </w:r>
      <w:r w:rsidRPr="00781BC5">
        <w:rPr>
          <w:rFonts w:cs="Arial"/>
          <w:i/>
          <w:spacing w:val="-3"/>
        </w:rPr>
        <w:t xml:space="preserve"> </w:t>
      </w:r>
      <w:r w:rsidRPr="00781BC5">
        <w:rPr>
          <w:rFonts w:cs="Arial"/>
          <w:i/>
        </w:rPr>
        <w:t>East</w:t>
      </w:r>
      <w:r w:rsidRPr="00781BC5">
        <w:rPr>
          <w:rFonts w:cs="Arial"/>
          <w:i/>
          <w:spacing w:val="-2"/>
        </w:rPr>
        <w:t xml:space="preserve"> </w:t>
      </w:r>
      <w:r w:rsidRPr="00781BC5">
        <w:rPr>
          <w:rFonts w:cs="Arial"/>
          <w:i/>
        </w:rPr>
        <w:t>Bourke</w:t>
      </w:r>
      <w:r w:rsidRPr="00781BC5">
        <w:rPr>
          <w:rFonts w:cs="Arial"/>
          <w:i/>
          <w:spacing w:val="-2"/>
        </w:rPr>
        <w:t xml:space="preserve"> </w:t>
      </w:r>
      <w:r w:rsidRPr="00781BC5">
        <w:rPr>
          <w:rFonts w:cs="Arial"/>
          <w:i/>
        </w:rPr>
        <w:t>Record</w:t>
      </w:r>
      <w:r w:rsidRPr="00781BC5">
        <w:rPr>
          <w:rFonts w:cs="Arial"/>
          <w:i/>
          <w:spacing w:val="-1"/>
        </w:rPr>
        <w:t xml:space="preserve"> </w:t>
      </w:r>
      <w:r w:rsidRPr="00781BC5">
        <w:rPr>
          <w:rFonts w:cs="Arial"/>
          <w:i/>
        </w:rPr>
        <w:t>(EO&amp;S&amp;EBR</w:t>
      </w:r>
      <w:r w:rsidRPr="00781BC5">
        <w:rPr>
          <w:rFonts w:cs="Arial"/>
        </w:rPr>
        <w:t>),</w:t>
      </w:r>
      <w:r w:rsidRPr="00781BC5">
        <w:rPr>
          <w:rFonts w:cs="Arial"/>
          <w:spacing w:val="-1"/>
        </w:rPr>
        <w:t xml:space="preserve"> </w:t>
      </w:r>
      <w:r w:rsidRPr="00781BC5">
        <w:rPr>
          <w:rFonts w:cs="Arial"/>
        </w:rPr>
        <w:t>as</w:t>
      </w:r>
      <w:r w:rsidRPr="00781BC5">
        <w:rPr>
          <w:rFonts w:cs="Arial"/>
          <w:spacing w:val="-3"/>
        </w:rPr>
        <w:t xml:space="preserve"> </w:t>
      </w:r>
      <w:r w:rsidRPr="00781BC5">
        <w:rPr>
          <w:rFonts w:cs="Arial"/>
        </w:rPr>
        <w:t>cited.</w:t>
      </w:r>
    </w:p>
    <w:p w14:paraId="332E227F" w14:textId="77777777" w:rsidR="00655AB3" w:rsidRPr="00781BC5" w:rsidRDefault="00655AB3" w:rsidP="00655AB3">
      <w:pPr>
        <w:rPr>
          <w:rFonts w:cs="Arial"/>
        </w:rPr>
      </w:pPr>
    </w:p>
    <w:p w14:paraId="0BEE3157" w14:textId="77777777" w:rsidR="00655AB3" w:rsidRDefault="00655AB3" w:rsidP="00655AB3">
      <w:pPr>
        <w:rPr>
          <w:rFonts w:cs="Arial"/>
        </w:rPr>
      </w:pPr>
      <w:r w:rsidRPr="00781BC5">
        <w:rPr>
          <w:rFonts w:cs="Arial"/>
          <w:i/>
        </w:rPr>
        <w:t>Gippsland</w:t>
      </w:r>
      <w:r w:rsidRPr="00781BC5">
        <w:rPr>
          <w:rFonts w:cs="Arial"/>
          <w:i/>
          <w:spacing w:val="-2"/>
        </w:rPr>
        <w:t xml:space="preserve"> </w:t>
      </w:r>
      <w:r w:rsidRPr="00781BC5">
        <w:rPr>
          <w:rFonts w:cs="Arial"/>
          <w:i/>
        </w:rPr>
        <w:t>Guardian</w:t>
      </w:r>
      <w:r w:rsidRPr="00781BC5">
        <w:rPr>
          <w:rFonts w:cs="Arial"/>
        </w:rPr>
        <w:t>,</w:t>
      </w:r>
      <w:r w:rsidRPr="00781BC5">
        <w:rPr>
          <w:rFonts w:cs="Arial"/>
          <w:spacing w:val="-1"/>
        </w:rPr>
        <w:t xml:space="preserve"> </w:t>
      </w:r>
      <w:r w:rsidRPr="00781BC5">
        <w:rPr>
          <w:rFonts w:cs="Arial"/>
        </w:rPr>
        <w:t>as</w:t>
      </w:r>
      <w:r w:rsidRPr="00781BC5">
        <w:rPr>
          <w:rFonts w:cs="Arial"/>
          <w:spacing w:val="-3"/>
        </w:rPr>
        <w:t xml:space="preserve"> </w:t>
      </w:r>
      <w:r w:rsidRPr="00781BC5">
        <w:rPr>
          <w:rFonts w:cs="Arial"/>
        </w:rPr>
        <w:t>cited.</w:t>
      </w:r>
    </w:p>
    <w:p w14:paraId="4BE789DB" w14:textId="77777777" w:rsidR="00655AB3" w:rsidRPr="00781BC5" w:rsidRDefault="00655AB3" w:rsidP="00655AB3">
      <w:pPr>
        <w:rPr>
          <w:rFonts w:cs="Arial"/>
        </w:rPr>
      </w:pPr>
    </w:p>
    <w:p w14:paraId="0CA079B1" w14:textId="77777777" w:rsidR="00655AB3" w:rsidRDefault="00655AB3" w:rsidP="00655AB3">
      <w:pPr>
        <w:rPr>
          <w:rFonts w:cs="Arial"/>
        </w:rPr>
      </w:pPr>
      <w:r w:rsidRPr="00781BC5">
        <w:rPr>
          <w:rFonts w:cs="Arial"/>
          <w:i/>
        </w:rPr>
        <w:t>Healesville</w:t>
      </w:r>
      <w:r w:rsidRPr="00781BC5">
        <w:rPr>
          <w:rFonts w:cs="Arial"/>
          <w:i/>
          <w:spacing w:val="-3"/>
        </w:rPr>
        <w:t xml:space="preserve"> </w:t>
      </w:r>
      <w:r w:rsidRPr="00781BC5">
        <w:rPr>
          <w:rFonts w:cs="Arial"/>
          <w:i/>
        </w:rPr>
        <w:t>and</w:t>
      </w:r>
      <w:r w:rsidRPr="00781BC5">
        <w:rPr>
          <w:rFonts w:cs="Arial"/>
          <w:i/>
          <w:spacing w:val="-1"/>
        </w:rPr>
        <w:t xml:space="preserve"> </w:t>
      </w:r>
      <w:r w:rsidRPr="00781BC5">
        <w:rPr>
          <w:rFonts w:cs="Arial"/>
          <w:i/>
        </w:rPr>
        <w:t>Yarra</w:t>
      </w:r>
      <w:r w:rsidRPr="00781BC5">
        <w:rPr>
          <w:rFonts w:cs="Arial"/>
          <w:i/>
          <w:spacing w:val="-2"/>
        </w:rPr>
        <w:t xml:space="preserve"> </w:t>
      </w:r>
      <w:r w:rsidRPr="00781BC5">
        <w:rPr>
          <w:rFonts w:cs="Arial"/>
          <w:i/>
        </w:rPr>
        <w:t>Glen</w:t>
      </w:r>
      <w:r w:rsidRPr="00781BC5">
        <w:rPr>
          <w:rFonts w:cs="Arial"/>
          <w:i/>
          <w:spacing w:val="-1"/>
        </w:rPr>
        <w:t xml:space="preserve"> </w:t>
      </w:r>
      <w:r w:rsidRPr="00781BC5">
        <w:rPr>
          <w:rFonts w:cs="Arial"/>
          <w:i/>
        </w:rPr>
        <w:t>Guardian</w:t>
      </w:r>
      <w:r>
        <w:rPr>
          <w:rFonts w:cs="Arial"/>
          <w:i/>
        </w:rPr>
        <w:t xml:space="preserve"> (H&amp;YGG)</w:t>
      </w:r>
      <w:r w:rsidRPr="00781BC5">
        <w:rPr>
          <w:rFonts w:cs="Arial"/>
        </w:rPr>
        <w:t>,</w:t>
      </w:r>
      <w:r w:rsidRPr="00781BC5">
        <w:rPr>
          <w:rFonts w:cs="Arial"/>
          <w:spacing w:val="-1"/>
        </w:rPr>
        <w:t xml:space="preserve"> </w:t>
      </w:r>
      <w:r w:rsidRPr="00781BC5">
        <w:rPr>
          <w:rFonts w:cs="Arial"/>
        </w:rPr>
        <w:t>as</w:t>
      </w:r>
      <w:r w:rsidRPr="00781BC5">
        <w:rPr>
          <w:rFonts w:cs="Arial"/>
          <w:spacing w:val="-4"/>
        </w:rPr>
        <w:t xml:space="preserve"> </w:t>
      </w:r>
      <w:r w:rsidRPr="00781BC5">
        <w:rPr>
          <w:rFonts w:cs="Arial"/>
        </w:rPr>
        <w:t>cited.</w:t>
      </w:r>
    </w:p>
    <w:p w14:paraId="03693AB2" w14:textId="77777777" w:rsidR="00655AB3" w:rsidRDefault="00655AB3" w:rsidP="00655AB3">
      <w:pPr>
        <w:rPr>
          <w:rFonts w:cs="Arial"/>
        </w:rPr>
      </w:pPr>
    </w:p>
    <w:p w14:paraId="260D1333" w14:textId="27518B1B" w:rsidR="009E1F6C" w:rsidRPr="008726F4" w:rsidRDefault="009E1F6C" w:rsidP="00655AB3">
      <w:pPr>
        <w:rPr>
          <w:rFonts w:cs="Arial"/>
          <w:lang w:val="es-ES"/>
        </w:rPr>
      </w:pPr>
      <w:r w:rsidRPr="008726F4">
        <w:rPr>
          <w:rFonts w:cs="Arial"/>
          <w:lang w:val="es-ES"/>
        </w:rPr>
        <w:t>Landata, 19</w:t>
      </w:r>
      <w:r w:rsidR="00733836" w:rsidRPr="008726F4">
        <w:rPr>
          <w:rFonts w:cs="Arial"/>
          <w:lang w:val="es-ES"/>
        </w:rPr>
        <w:t>71</w:t>
      </w:r>
      <w:r w:rsidRPr="008726F4">
        <w:rPr>
          <w:rFonts w:cs="Arial"/>
          <w:lang w:val="es-ES"/>
        </w:rPr>
        <w:t xml:space="preserve">, aerial photo No </w:t>
      </w:r>
      <w:r w:rsidR="00733836" w:rsidRPr="008726F4">
        <w:rPr>
          <w:rFonts w:cs="Arial"/>
          <w:lang w:val="es-ES"/>
        </w:rPr>
        <w:t>161</w:t>
      </w:r>
      <w:r w:rsidRPr="008726F4">
        <w:rPr>
          <w:rFonts w:cs="Arial"/>
          <w:lang w:val="es-ES"/>
        </w:rPr>
        <w:t xml:space="preserve"> (VIC </w:t>
      </w:r>
      <w:r w:rsidR="00733836" w:rsidRPr="008726F4">
        <w:rPr>
          <w:rFonts w:cs="Arial"/>
          <w:lang w:val="es-ES"/>
        </w:rPr>
        <w:t xml:space="preserve">2540). </w:t>
      </w:r>
    </w:p>
    <w:p w14:paraId="35C755B3" w14:textId="77777777" w:rsidR="00733836" w:rsidRPr="008726F4" w:rsidRDefault="00733836" w:rsidP="00655AB3">
      <w:pPr>
        <w:rPr>
          <w:rFonts w:cs="Arial"/>
          <w:lang w:val="es-ES"/>
        </w:rPr>
      </w:pPr>
    </w:p>
    <w:p w14:paraId="5BF80B6E" w14:textId="77777777" w:rsidR="00733836" w:rsidRDefault="00733836" w:rsidP="00733836">
      <w:pPr>
        <w:rPr>
          <w:rFonts w:cs="Arial"/>
        </w:rPr>
      </w:pPr>
      <w:r w:rsidRPr="00781BC5">
        <w:rPr>
          <w:rFonts w:cs="Arial"/>
        </w:rPr>
        <w:t>Lewis, M ‘Making do’ in Troy</w:t>
      </w:r>
      <w:r>
        <w:rPr>
          <w:rFonts w:cs="Arial"/>
        </w:rPr>
        <w:t xml:space="preserve">, </w:t>
      </w:r>
      <w:r w:rsidRPr="00781BC5">
        <w:rPr>
          <w:rFonts w:cs="Arial"/>
        </w:rPr>
        <w:t xml:space="preserve">P (ed.) 2000, </w:t>
      </w:r>
      <w:r w:rsidRPr="00781BC5">
        <w:rPr>
          <w:rFonts w:cs="Arial"/>
          <w:i/>
        </w:rPr>
        <w:t>A History of European Housing in Australia</w:t>
      </w:r>
      <w:r w:rsidRPr="00781BC5">
        <w:rPr>
          <w:rFonts w:cs="Arial"/>
        </w:rPr>
        <w:t>,</w:t>
      </w:r>
      <w:r w:rsidRPr="00781BC5">
        <w:rPr>
          <w:rFonts w:cs="Arial"/>
          <w:spacing w:val="-47"/>
        </w:rPr>
        <w:t xml:space="preserve"> </w:t>
      </w:r>
      <w:r w:rsidRPr="00781BC5">
        <w:rPr>
          <w:rFonts w:cs="Arial"/>
        </w:rPr>
        <w:t>Cambridge</w:t>
      </w:r>
      <w:r w:rsidRPr="00781BC5">
        <w:rPr>
          <w:rFonts w:cs="Arial"/>
          <w:spacing w:val="-1"/>
        </w:rPr>
        <w:t xml:space="preserve"> </w:t>
      </w:r>
      <w:r w:rsidRPr="00781BC5">
        <w:rPr>
          <w:rFonts w:cs="Arial"/>
        </w:rPr>
        <w:t>University</w:t>
      </w:r>
      <w:r w:rsidRPr="00781BC5">
        <w:rPr>
          <w:rFonts w:cs="Arial"/>
          <w:spacing w:val="-1"/>
        </w:rPr>
        <w:t xml:space="preserve"> </w:t>
      </w:r>
      <w:r w:rsidRPr="00781BC5">
        <w:rPr>
          <w:rFonts w:cs="Arial"/>
        </w:rPr>
        <w:t>Press,</w:t>
      </w:r>
      <w:r w:rsidRPr="00781BC5">
        <w:rPr>
          <w:rFonts w:cs="Arial"/>
          <w:spacing w:val="1"/>
        </w:rPr>
        <w:t xml:space="preserve"> </w:t>
      </w:r>
      <w:r w:rsidRPr="00781BC5">
        <w:rPr>
          <w:rFonts w:cs="Arial"/>
        </w:rPr>
        <w:t>Oakleigh</w:t>
      </w:r>
      <w:r w:rsidRPr="00781BC5">
        <w:rPr>
          <w:rFonts w:cs="Arial"/>
          <w:spacing w:val="-1"/>
        </w:rPr>
        <w:t xml:space="preserve"> </w:t>
      </w:r>
      <w:r w:rsidRPr="00781BC5">
        <w:rPr>
          <w:rFonts w:cs="Arial"/>
        </w:rPr>
        <w:t>(Vic.).</w:t>
      </w:r>
    </w:p>
    <w:p w14:paraId="55DB50D4" w14:textId="77777777" w:rsidR="00733836" w:rsidRPr="00781BC5" w:rsidRDefault="00733836" w:rsidP="00733836">
      <w:pPr>
        <w:rPr>
          <w:rFonts w:cs="Arial"/>
        </w:rPr>
      </w:pPr>
    </w:p>
    <w:p w14:paraId="59B8B4FF" w14:textId="442AC244" w:rsidR="00733836" w:rsidRDefault="00733836" w:rsidP="00733836">
      <w:pPr>
        <w:pStyle w:val="BodyText"/>
      </w:pPr>
      <w:r w:rsidRPr="004F5D01">
        <w:t xml:space="preserve">Lewis, M ‘Australian Building a Cultural Investigation’, website, </w:t>
      </w:r>
      <w:hyperlink r:id="rId21">
        <w:r w:rsidRPr="004F5D01">
          <w:t>http://www.mileslewis.net/australian-</w:t>
        </w:r>
      </w:hyperlink>
      <w:r w:rsidRPr="004F5D01">
        <w:rPr>
          <w:spacing w:val="-48"/>
        </w:rPr>
        <w:t xml:space="preserve"> </w:t>
      </w:r>
      <w:r w:rsidRPr="004F5D01">
        <w:t>building/#two, accessed</w:t>
      </w:r>
      <w:r w:rsidRPr="004F5D01">
        <w:rPr>
          <w:spacing w:val="1"/>
        </w:rPr>
        <w:t xml:space="preserve"> </w:t>
      </w:r>
      <w:r w:rsidRPr="004F5D01">
        <w:t>24</w:t>
      </w:r>
      <w:r w:rsidRPr="004F5D01">
        <w:rPr>
          <w:spacing w:val="1"/>
        </w:rPr>
        <w:t xml:space="preserve"> </w:t>
      </w:r>
      <w:r w:rsidRPr="004F5D01">
        <w:t>October</w:t>
      </w:r>
      <w:r w:rsidRPr="004F5D01">
        <w:rPr>
          <w:spacing w:val="1"/>
        </w:rPr>
        <w:t xml:space="preserve"> </w:t>
      </w:r>
      <w:r w:rsidRPr="004F5D01">
        <w:t>2018,</w:t>
      </w:r>
      <w:r w:rsidRPr="004F5D01">
        <w:rPr>
          <w:spacing w:val="-2"/>
        </w:rPr>
        <w:t xml:space="preserve"> </w:t>
      </w:r>
      <w:r w:rsidRPr="004F5D01">
        <w:t>as</w:t>
      </w:r>
      <w:r w:rsidRPr="004F5D01">
        <w:rPr>
          <w:spacing w:val="-2"/>
        </w:rPr>
        <w:t xml:space="preserve"> </w:t>
      </w:r>
      <w:r w:rsidRPr="004F5D01">
        <w:t>cited.</w:t>
      </w:r>
    </w:p>
    <w:p w14:paraId="66C984C9" w14:textId="77777777" w:rsidR="00733836" w:rsidRPr="00733836" w:rsidRDefault="00733836" w:rsidP="00655AB3">
      <w:pPr>
        <w:rPr>
          <w:rFonts w:cs="Arial"/>
          <w:lang w:val="en-US"/>
        </w:rPr>
      </w:pPr>
    </w:p>
    <w:p w14:paraId="3007922D" w14:textId="77777777" w:rsidR="00961A8F" w:rsidRDefault="00961A8F" w:rsidP="00961A8F">
      <w:pPr>
        <w:pStyle w:val="BodyText"/>
        <w:rPr>
          <w:spacing w:val="-47"/>
        </w:rPr>
      </w:pPr>
      <w:r>
        <w:t>PROV, VA444 Heidelberg, VPRS 3567 Greensborough Riding Valuation Book</w:t>
      </w:r>
      <w:r w:rsidRPr="00781BC5">
        <w:rPr>
          <w:spacing w:val="-47"/>
        </w:rPr>
        <w:t xml:space="preserve"> </w:t>
      </w:r>
    </w:p>
    <w:p w14:paraId="2D7F87AA" w14:textId="77777777" w:rsidR="00961A8F" w:rsidRDefault="00961A8F" w:rsidP="00961A8F">
      <w:pPr>
        <w:pStyle w:val="BodyText"/>
        <w:rPr>
          <w:spacing w:val="-47"/>
        </w:rPr>
      </w:pPr>
    </w:p>
    <w:p w14:paraId="43871398" w14:textId="77777777" w:rsidR="00961A8F" w:rsidRPr="00961A8F" w:rsidRDefault="00961A8F" w:rsidP="00655AB3">
      <w:pPr>
        <w:rPr>
          <w:rFonts w:cs="Arial"/>
          <w:lang w:val="en-US"/>
        </w:rPr>
      </w:pPr>
    </w:p>
    <w:p w14:paraId="76FD6566" w14:textId="1A6F867C" w:rsidR="00655AB3" w:rsidRDefault="00655AB3" w:rsidP="00655AB3">
      <w:pPr>
        <w:rPr>
          <w:rFonts w:cs="Arial"/>
        </w:rPr>
      </w:pPr>
      <w:r>
        <w:rPr>
          <w:rFonts w:cs="Arial"/>
        </w:rPr>
        <w:t xml:space="preserve">PROV, VA538 Department of Crown Lands and Survey, VPRS 625 Land Selection Files, Sections 19 and 20, 1869, File 32069. </w:t>
      </w:r>
    </w:p>
    <w:p w14:paraId="7227F6BC" w14:textId="77777777" w:rsidR="00655AB3" w:rsidRDefault="00655AB3" w:rsidP="00655AB3">
      <w:pPr>
        <w:rPr>
          <w:rFonts w:cs="Arial"/>
        </w:rPr>
      </w:pPr>
    </w:p>
    <w:p w14:paraId="02316DBB" w14:textId="77777777" w:rsidR="00655AB3" w:rsidRDefault="00655AB3" w:rsidP="00655AB3">
      <w:pPr>
        <w:rPr>
          <w:rFonts w:cs="Arial"/>
          <w:lang w:eastAsia="zh-TW"/>
        </w:rPr>
      </w:pPr>
      <w:r>
        <w:rPr>
          <w:rFonts w:cs="Arial"/>
        </w:rPr>
        <w:t xml:space="preserve">PROV, VA 538 Department of Crown Lands and Survey, VPRS 5357 Land Selection Files, Item 11850/106 land Application James McPherson, </w:t>
      </w:r>
      <w:r>
        <w:rPr>
          <w:rFonts w:cs="Arial" w:hint="eastAsia"/>
          <w:lang w:eastAsia="zh-TW"/>
        </w:rPr>
        <w:t>Su</w:t>
      </w:r>
      <w:r>
        <w:rPr>
          <w:rFonts w:cs="Arial"/>
          <w:lang w:eastAsia="zh-TW"/>
        </w:rPr>
        <w:t xml:space="preserve">tton. </w:t>
      </w:r>
    </w:p>
    <w:p w14:paraId="3D4B53E9" w14:textId="77777777" w:rsidR="00655AB3" w:rsidRDefault="00655AB3" w:rsidP="00655AB3">
      <w:pPr>
        <w:rPr>
          <w:rFonts w:cs="Arial"/>
        </w:rPr>
      </w:pPr>
    </w:p>
    <w:p w14:paraId="47C6503A" w14:textId="77777777" w:rsidR="00961A8F" w:rsidRDefault="00961A8F" w:rsidP="00961A8F">
      <w:pPr>
        <w:pStyle w:val="BodyText"/>
      </w:pPr>
      <w:r>
        <w:t>PROV, VA2428 Eltham, VPRS 9705 Northern, Eastern and Southern Ridings (rate books) (RB)</w:t>
      </w:r>
      <w:r w:rsidRPr="00781BC5">
        <w:t>,</w:t>
      </w:r>
      <w:r w:rsidRPr="00781BC5">
        <w:rPr>
          <w:spacing w:val="-2"/>
        </w:rPr>
        <w:t xml:space="preserve"> </w:t>
      </w:r>
      <w:r w:rsidRPr="00781BC5">
        <w:t>as</w:t>
      </w:r>
      <w:r w:rsidRPr="00781BC5">
        <w:rPr>
          <w:spacing w:val="-1"/>
        </w:rPr>
        <w:t xml:space="preserve"> </w:t>
      </w:r>
      <w:r w:rsidRPr="00781BC5">
        <w:t>cited.</w:t>
      </w:r>
    </w:p>
    <w:p w14:paraId="7B174BDD" w14:textId="77777777" w:rsidR="00961A8F" w:rsidRPr="00961A8F" w:rsidRDefault="00961A8F" w:rsidP="00655AB3">
      <w:pPr>
        <w:rPr>
          <w:rFonts w:cs="Arial"/>
          <w:lang w:val="en-US"/>
        </w:rPr>
      </w:pPr>
    </w:p>
    <w:p w14:paraId="0DDED53C" w14:textId="77777777" w:rsidR="00655AB3" w:rsidRDefault="00655AB3" w:rsidP="00655AB3">
      <w:pPr>
        <w:pStyle w:val="BodyText"/>
      </w:pPr>
      <w:r>
        <w:rPr>
          <w:sz w:val="21"/>
          <w:szCs w:val="21"/>
        </w:rPr>
        <w:t>PROV, VA 2620 Registrar of Probates, Supreme Court, VPRS 7591 Wills, James McPherson (Senior) File 15/418</w:t>
      </w:r>
    </w:p>
    <w:p w14:paraId="38A72322" w14:textId="77777777" w:rsidR="00655AB3" w:rsidRDefault="00655AB3" w:rsidP="00655AB3">
      <w:pPr>
        <w:pStyle w:val="BodyText"/>
      </w:pPr>
    </w:p>
    <w:p w14:paraId="7EFB9C00" w14:textId="77777777" w:rsidR="00655AB3" w:rsidRPr="00781BC5" w:rsidRDefault="00655AB3" w:rsidP="00655AB3">
      <w:pPr>
        <w:pStyle w:val="BodyText"/>
        <w:rPr>
          <w:lang w:eastAsia="zh-TW"/>
        </w:rPr>
      </w:pPr>
      <w:r>
        <w:t xml:space="preserve">PROV, VA 2620 Registrar of Probates, Supreme Court, VPRS 28/P0 Probate and Administrative Files, </w:t>
      </w:r>
      <w:r>
        <w:rPr>
          <w:rFonts w:ascii="Microsoft JhengHei" w:eastAsia="Microsoft JhengHei" w:hAnsi="Microsoft JhengHei" w:cs="Microsoft JhengHei" w:hint="eastAsia"/>
          <w:lang w:eastAsia="zh-TW"/>
        </w:rPr>
        <w:t>J</w:t>
      </w:r>
      <w:r>
        <w:rPr>
          <w:rFonts w:ascii="Microsoft JhengHei" w:eastAsia="Microsoft JhengHei" w:hAnsi="Microsoft JhengHei" w:cs="Microsoft JhengHei"/>
          <w:lang w:eastAsia="zh-TW"/>
        </w:rPr>
        <w:t xml:space="preserve">ames McPherson (Junior) item 67/925 </w:t>
      </w:r>
    </w:p>
    <w:p w14:paraId="159CA53D" w14:textId="77777777" w:rsidR="00655AB3" w:rsidRDefault="00655AB3" w:rsidP="00655AB3">
      <w:pPr>
        <w:pStyle w:val="BodyText"/>
      </w:pPr>
    </w:p>
    <w:p w14:paraId="357BC4BE" w14:textId="77777777" w:rsidR="00655AB3" w:rsidRPr="00781BC5" w:rsidRDefault="00655AB3" w:rsidP="00655AB3">
      <w:pPr>
        <w:pStyle w:val="BodyText"/>
        <w:rPr>
          <w:lang w:eastAsia="zh-TW"/>
        </w:rPr>
      </w:pPr>
      <w:r>
        <w:t xml:space="preserve">PROV, VA 2620 Registrar of Probates, Supreme Court, VPRS 28/P2 Probate and Administrative Files, </w:t>
      </w:r>
      <w:r>
        <w:rPr>
          <w:rFonts w:ascii="Microsoft JhengHei" w:eastAsia="Microsoft JhengHei" w:hAnsi="Microsoft JhengHei" w:cs="Microsoft JhengHei" w:hint="eastAsia"/>
          <w:lang w:eastAsia="zh-TW"/>
        </w:rPr>
        <w:t>J</w:t>
      </w:r>
      <w:r>
        <w:rPr>
          <w:rFonts w:ascii="Microsoft JhengHei" w:eastAsia="Microsoft JhengHei" w:hAnsi="Microsoft JhengHei" w:cs="Microsoft JhengHei"/>
          <w:lang w:eastAsia="zh-TW"/>
        </w:rPr>
        <w:t xml:space="preserve">ames McPherson (Junior) item 67/925 </w:t>
      </w:r>
    </w:p>
    <w:p w14:paraId="68376D9C" w14:textId="77777777" w:rsidR="00655AB3" w:rsidRPr="00781BC5" w:rsidRDefault="00655AB3" w:rsidP="00655AB3">
      <w:pPr>
        <w:pStyle w:val="BodyText"/>
      </w:pPr>
    </w:p>
    <w:p w14:paraId="3174E98B" w14:textId="77777777" w:rsidR="00655AB3" w:rsidRDefault="00655AB3" w:rsidP="00655AB3">
      <w:pPr>
        <w:rPr>
          <w:rFonts w:cs="Arial"/>
        </w:rPr>
      </w:pPr>
      <w:r>
        <w:rPr>
          <w:rFonts w:cs="Arial"/>
        </w:rPr>
        <w:t xml:space="preserve">PROV, VA 2620 Registrar of Probates, Supreme Court, VPRS 28 /P3 Probate and Administrative Files, John H Thornton File 199/180 </w:t>
      </w:r>
    </w:p>
    <w:p w14:paraId="0B9C198A" w14:textId="77777777" w:rsidR="00655AB3" w:rsidRPr="00781BC5" w:rsidRDefault="00655AB3" w:rsidP="00655AB3">
      <w:pPr>
        <w:pStyle w:val="BodyText"/>
      </w:pPr>
    </w:p>
    <w:p w14:paraId="7E8C878A" w14:textId="77777777" w:rsidR="00655AB3" w:rsidRDefault="00655AB3" w:rsidP="00655AB3">
      <w:pPr>
        <w:rPr>
          <w:rFonts w:cs="Arial"/>
        </w:rPr>
      </w:pPr>
      <w:r w:rsidRPr="00781BC5">
        <w:rPr>
          <w:rFonts w:cs="Arial"/>
        </w:rPr>
        <w:t xml:space="preserve">Marshall, A 1971, </w:t>
      </w:r>
      <w:r w:rsidRPr="00781BC5">
        <w:rPr>
          <w:rFonts w:cs="Arial"/>
          <w:i/>
        </w:rPr>
        <w:t>Pioneers &amp; Painters: One hundred years of Eltham &amp; its shire</w:t>
      </w:r>
      <w:r w:rsidRPr="00781BC5">
        <w:rPr>
          <w:rFonts w:cs="Arial"/>
        </w:rPr>
        <w:t>, Thomas Nelson Australia,</w:t>
      </w:r>
      <w:r w:rsidRPr="00781BC5">
        <w:rPr>
          <w:rFonts w:cs="Arial"/>
          <w:spacing w:val="-48"/>
        </w:rPr>
        <w:t xml:space="preserve"> </w:t>
      </w:r>
      <w:r w:rsidRPr="00781BC5">
        <w:rPr>
          <w:rFonts w:cs="Arial"/>
        </w:rPr>
        <w:t>West</w:t>
      </w:r>
      <w:r w:rsidRPr="00781BC5">
        <w:rPr>
          <w:rFonts w:cs="Arial"/>
          <w:spacing w:val="-1"/>
        </w:rPr>
        <w:t xml:space="preserve"> </w:t>
      </w:r>
      <w:r w:rsidRPr="00781BC5">
        <w:rPr>
          <w:rFonts w:cs="Arial"/>
        </w:rPr>
        <w:t>Melbourne.</w:t>
      </w:r>
    </w:p>
    <w:p w14:paraId="7038B31D" w14:textId="77777777" w:rsidR="00655AB3" w:rsidRPr="00781BC5" w:rsidRDefault="00655AB3" w:rsidP="00655AB3">
      <w:pPr>
        <w:rPr>
          <w:rFonts w:cs="Arial"/>
        </w:rPr>
      </w:pPr>
    </w:p>
    <w:p w14:paraId="4A3C54A6" w14:textId="77777777" w:rsidR="00655AB3" w:rsidRDefault="00655AB3" w:rsidP="00655AB3">
      <w:pPr>
        <w:rPr>
          <w:rFonts w:cs="Arial"/>
        </w:rPr>
      </w:pPr>
      <w:r w:rsidRPr="00781BC5">
        <w:rPr>
          <w:rFonts w:cs="Arial"/>
          <w:i/>
        </w:rPr>
        <w:t>Melbourne</w:t>
      </w:r>
      <w:r w:rsidRPr="00781BC5">
        <w:rPr>
          <w:rFonts w:cs="Arial"/>
          <w:i/>
          <w:spacing w:val="-3"/>
        </w:rPr>
        <w:t xml:space="preserve"> </w:t>
      </w:r>
      <w:r w:rsidRPr="00781BC5">
        <w:rPr>
          <w:rFonts w:cs="Arial"/>
          <w:i/>
        </w:rPr>
        <w:t>Daily</w:t>
      </w:r>
      <w:r w:rsidRPr="00781BC5">
        <w:rPr>
          <w:rFonts w:cs="Arial"/>
          <w:i/>
          <w:spacing w:val="-2"/>
        </w:rPr>
        <w:t xml:space="preserve"> </w:t>
      </w:r>
      <w:r w:rsidRPr="00781BC5">
        <w:rPr>
          <w:rFonts w:cs="Arial"/>
          <w:i/>
        </w:rPr>
        <w:t>News</w:t>
      </w:r>
      <w:r w:rsidRPr="00781BC5">
        <w:rPr>
          <w:rFonts w:cs="Arial"/>
        </w:rPr>
        <w:t>,</w:t>
      </w:r>
      <w:r w:rsidRPr="00781BC5">
        <w:rPr>
          <w:rFonts w:cs="Arial"/>
          <w:spacing w:val="-1"/>
        </w:rPr>
        <w:t xml:space="preserve"> </w:t>
      </w:r>
      <w:r w:rsidRPr="00781BC5">
        <w:rPr>
          <w:rFonts w:cs="Arial"/>
        </w:rPr>
        <w:t>as</w:t>
      </w:r>
      <w:r w:rsidRPr="00781BC5">
        <w:rPr>
          <w:rFonts w:cs="Arial"/>
          <w:spacing w:val="-3"/>
        </w:rPr>
        <w:t xml:space="preserve"> </w:t>
      </w:r>
      <w:r w:rsidRPr="00781BC5">
        <w:rPr>
          <w:rFonts w:cs="Arial"/>
        </w:rPr>
        <w:t>cited.</w:t>
      </w:r>
    </w:p>
    <w:p w14:paraId="07883A8D" w14:textId="77777777" w:rsidR="00655AB3" w:rsidRPr="00781BC5" w:rsidRDefault="00655AB3" w:rsidP="00655AB3">
      <w:pPr>
        <w:rPr>
          <w:rFonts w:cs="Arial"/>
        </w:rPr>
      </w:pPr>
    </w:p>
    <w:p w14:paraId="103AE953" w14:textId="77777777" w:rsidR="00655AB3" w:rsidRDefault="00655AB3" w:rsidP="00655AB3">
      <w:pPr>
        <w:pStyle w:val="BodyText"/>
      </w:pPr>
      <w:r w:rsidRPr="004F5D01">
        <w:t xml:space="preserve">Tansley, MR, 1978, </w:t>
      </w:r>
      <w:r w:rsidRPr="004F5D01">
        <w:rPr>
          <w:i/>
          <w:iCs/>
        </w:rPr>
        <w:t>The Conservation of Sites and Structures of Historical and Archaeological</w:t>
      </w:r>
      <w:r w:rsidRPr="004F5D01">
        <w:rPr>
          <w:i/>
          <w:iCs/>
          <w:spacing w:val="1"/>
        </w:rPr>
        <w:t xml:space="preserve"> </w:t>
      </w:r>
      <w:r w:rsidRPr="004F5D01">
        <w:rPr>
          <w:i/>
          <w:iCs/>
        </w:rPr>
        <w:t>Significance in the Upper Yarra Valley and Dandenong Ranges Region</w:t>
      </w:r>
      <w:r w:rsidRPr="004F5D01">
        <w:t>, Upper Yarra Valley and Dandenong Ranges</w:t>
      </w:r>
      <w:r w:rsidRPr="004F5D01">
        <w:rPr>
          <w:spacing w:val="1"/>
        </w:rPr>
        <w:t xml:space="preserve"> </w:t>
      </w:r>
      <w:r w:rsidRPr="004F5D01">
        <w:t>Authority,</w:t>
      </w:r>
      <w:r w:rsidRPr="004F5D01">
        <w:rPr>
          <w:spacing w:val="1"/>
        </w:rPr>
        <w:t xml:space="preserve"> </w:t>
      </w:r>
      <w:r w:rsidRPr="004F5D01">
        <w:t>Melbourne.</w:t>
      </w:r>
    </w:p>
    <w:p w14:paraId="3F15CE2C" w14:textId="77777777" w:rsidR="00655AB3" w:rsidRPr="00781BC5" w:rsidRDefault="00655AB3" w:rsidP="00655AB3">
      <w:pPr>
        <w:pStyle w:val="BodyText"/>
      </w:pPr>
    </w:p>
    <w:p w14:paraId="42935097" w14:textId="77777777" w:rsidR="00655AB3" w:rsidRDefault="00655AB3" w:rsidP="00655AB3">
      <w:pPr>
        <w:pStyle w:val="BodyText"/>
      </w:pPr>
      <w:r w:rsidRPr="00781BC5">
        <w:t>Spreadborough,</w:t>
      </w:r>
      <w:r w:rsidRPr="00781BC5">
        <w:rPr>
          <w:spacing w:val="-3"/>
        </w:rPr>
        <w:t xml:space="preserve"> </w:t>
      </w:r>
      <w:r w:rsidRPr="00781BC5">
        <w:t>R &amp; Anderson</w:t>
      </w:r>
      <w:r>
        <w:t>, H</w:t>
      </w:r>
      <w:r w:rsidRPr="00781BC5">
        <w:rPr>
          <w:spacing w:val="-2"/>
        </w:rPr>
        <w:t xml:space="preserve"> </w:t>
      </w:r>
      <w:r w:rsidRPr="00781BC5">
        <w:t>1983,</w:t>
      </w:r>
      <w:r w:rsidRPr="00781BC5">
        <w:rPr>
          <w:spacing w:val="-5"/>
        </w:rPr>
        <w:t xml:space="preserve"> </w:t>
      </w:r>
      <w:r w:rsidRPr="00781BC5">
        <w:rPr>
          <w:i/>
        </w:rPr>
        <w:t>Victorian</w:t>
      </w:r>
      <w:r w:rsidRPr="00781BC5">
        <w:rPr>
          <w:i/>
          <w:spacing w:val="-2"/>
        </w:rPr>
        <w:t xml:space="preserve"> </w:t>
      </w:r>
      <w:r w:rsidRPr="00781BC5">
        <w:rPr>
          <w:i/>
        </w:rPr>
        <w:t>Squatters</w:t>
      </w:r>
      <w:r w:rsidRPr="00781BC5">
        <w:t>,</w:t>
      </w:r>
      <w:r w:rsidRPr="00781BC5">
        <w:rPr>
          <w:spacing w:val="-2"/>
        </w:rPr>
        <w:t xml:space="preserve"> </w:t>
      </w:r>
      <w:r w:rsidRPr="00781BC5">
        <w:t>Red</w:t>
      </w:r>
      <w:r w:rsidRPr="00781BC5">
        <w:rPr>
          <w:spacing w:val="-2"/>
        </w:rPr>
        <w:t xml:space="preserve"> </w:t>
      </w:r>
      <w:r w:rsidRPr="00781BC5">
        <w:t>Rooster</w:t>
      </w:r>
      <w:r w:rsidRPr="00781BC5">
        <w:rPr>
          <w:spacing w:val="-2"/>
        </w:rPr>
        <w:t xml:space="preserve"> </w:t>
      </w:r>
      <w:r w:rsidRPr="00781BC5">
        <w:t>Press,</w:t>
      </w:r>
      <w:r w:rsidRPr="00781BC5">
        <w:rPr>
          <w:spacing w:val="-3"/>
        </w:rPr>
        <w:t xml:space="preserve"> </w:t>
      </w:r>
      <w:r w:rsidRPr="00781BC5">
        <w:t>Ascot</w:t>
      </w:r>
      <w:r w:rsidRPr="00781BC5">
        <w:rPr>
          <w:spacing w:val="-3"/>
        </w:rPr>
        <w:t xml:space="preserve"> </w:t>
      </w:r>
      <w:r w:rsidRPr="00781BC5">
        <w:t>Vale</w:t>
      </w:r>
      <w:r w:rsidRPr="00781BC5">
        <w:rPr>
          <w:spacing w:val="-3"/>
        </w:rPr>
        <w:t xml:space="preserve"> </w:t>
      </w:r>
      <w:r w:rsidRPr="00781BC5">
        <w:t>(Vic.).</w:t>
      </w:r>
    </w:p>
    <w:p w14:paraId="28878C32" w14:textId="77777777" w:rsidR="00655AB3" w:rsidRPr="00781BC5" w:rsidRDefault="00655AB3" w:rsidP="00655AB3">
      <w:pPr>
        <w:pStyle w:val="BodyText"/>
      </w:pPr>
    </w:p>
    <w:p w14:paraId="731A1DBF" w14:textId="77777777" w:rsidR="00655AB3" w:rsidRPr="00655AB3" w:rsidRDefault="00655AB3" w:rsidP="00655AB3">
      <w:pPr>
        <w:pStyle w:val="BodyText"/>
      </w:pPr>
      <w:r w:rsidRPr="00655AB3">
        <w:t xml:space="preserve">Upper Yarra Valley and Dandenong Ranges Authority (UYV&amp;DRA), 1988, ‘Technical Report </w:t>
      </w:r>
      <w:r w:rsidRPr="00655AB3">
        <w:lastRenderedPageBreak/>
        <w:t>Series (Upper</w:t>
      </w:r>
      <w:r w:rsidRPr="00655AB3">
        <w:rPr>
          <w:spacing w:val="1"/>
        </w:rPr>
        <w:t xml:space="preserve"> </w:t>
      </w:r>
      <w:r w:rsidRPr="00655AB3">
        <w:t>Yarra Valley and Dandenong Ranges Authority) Report No.17: Reinvestigation of Region: Conservation of</w:t>
      </w:r>
      <w:r w:rsidRPr="00655AB3">
        <w:rPr>
          <w:spacing w:val="1"/>
        </w:rPr>
        <w:t xml:space="preserve"> </w:t>
      </w:r>
      <w:r w:rsidRPr="00655AB3">
        <w:t>Sites and Structures of Historical and Architectural Significance’, Upper Yarra Valley and Dandenong Ranges</w:t>
      </w:r>
      <w:r w:rsidRPr="00655AB3">
        <w:rPr>
          <w:spacing w:val="-47"/>
        </w:rPr>
        <w:t xml:space="preserve"> </w:t>
      </w:r>
      <w:r w:rsidRPr="00655AB3">
        <w:t>Authority, Melbourne.</w:t>
      </w:r>
    </w:p>
    <w:p w14:paraId="4BF42272" w14:textId="77777777" w:rsidR="00655AB3" w:rsidRPr="00655AB3" w:rsidRDefault="00655AB3" w:rsidP="00655AB3">
      <w:pPr>
        <w:pStyle w:val="BodyText"/>
      </w:pPr>
    </w:p>
    <w:p w14:paraId="6FDA4534" w14:textId="77777777" w:rsidR="00655AB3" w:rsidRDefault="00655AB3" w:rsidP="00655AB3">
      <w:pPr>
        <w:pStyle w:val="BodyText"/>
      </w:pPr>
      <w:r w:rsidRPr="00655AB3">
        <w:t>Watson, M 2006, ‘Yarra Glen &amp; District Historical Society Publication Series No.5: The McPhersons of</w:t>
      </w:r>
      <w:r w:rsidRPr="00655AB3">
        <w:rPr>
          <w:spacing w:val="-48"/>
        </w:rPr>
        <w:t xml:space="preserve"> </w:t>
      </w:r>
      <w:r w:rsidRPr="00655AB3">
        <w:t>Yarra</w:t>
      </w:r>
      <w:r w:rsidRPr="00655AB3">
        <w:rPr>
          <w:spacing w:val="-1"/>
        </w:rPr>
        <w:t xml:space="preserve"> </w:t>
      </w:r>
      <w:r w:rsidRPr="00655AB3">
        <w:t>Glen’,</w:t>
      </w:r>
      <w:r w:rsidRPr="00655AB3">
        <w:rPr>
          <w:spacing w:val="1"/>
        </w:rPr>
        <w:t xml:space="preserve"> </w:t>
      </w:r>
      <w:r w:rsidRPr="00655AB3">
        <w:t>Yarra</w:t>
      </w:r>
      <w:r w:rsidRPr="00655AB3">
        <w:rPr>
          <w:spacing w:val="-1"/>
        </w:rPr>
        <w:t xml:space="preserve"> </w:t>
      </w:r>
      <w:r w:rsidRPr="00655AB3">
        <w:t>Glen</w:t>
      </w:r>
      <w:r w:rsidRPr="00655AB3">
        <w:rPr>
          <w:spacing w:val="1"/>
        </w:rPr>
        <w:t xml:space="preserve"> </w:t>
      </w:r>
      <w:r w:rsidRPr="00655AB3">
        <w:t>&amp;</w:t>
      </w:r>
      <w:r w:rsidRPr="00655AB3">
        <w:rPr>
          <w:spacing w:val="-2"/>
        </w:rPr>
        <w:t xml:space="preserve"> </w:t>
      </w:r>
      <w:r w:rsidRPr="00655AB3">
        <w:t>District Historical</w:t>
      </w:r>
      <w:r w:rsidRPr="00655AB3">
        <w:rPr>
          <w:spacing w:val="-1"/>
        </w:rPr>
        <w:t xml:space="preserve"> </w:t>
      </w:r>
      <w:r w:rsidRPr="00655AB3">
        <w:t>Society,</w:t>
      </w:r>
      <w:r w:rsidRPr="00655AB3">
        <w:rPr>
          <w:spacing w:val="1"/>
        </w:rPr>
        <w:t xml:space="preserve"> </w:t>
      </w:r>
      <w:r w:rsidRPr="00655AB3">
        <w:t>Yarra</w:t>
      </w:r>
      <w:r w:rsidRPr="00655AB3">
        <w:rPr>
          <w:spacing w:val="-1"/>
        </w:rPr>
        <w:t xml:space="preserve"> </w:t>
      </w:r>
      <w:r w:rsidRPr="00655AB3">
        <w:t>Glen</w:t>
      </w:r>
      <w:r w:rsidRPr="00655AB3">
        <w:rPr>
          <w:spacing w:val="-1"/>
        </w:rPr>
        <w:t xml:space="preserve"> </w:t>
      </w:r>
      <w:r w:rsidRPr="00655AB3">
        <w:t>(Vic.).</w:t>
      </w:r>
    </w:p>
    <w:p w14:paraId="239DDB45" w14:textId="77777777" w:rsidR="00655AB3" w:rsidRPr="00781BC5" w:rsidRDefault="00655AB3" w:rsidP="00655AB3">
      <w:pPr>
        <w:pStyle w:val="BodyText"/>
      </w:pPr>
    </w:p>
    <w:p w14:paraId="79F1B7CF" w14:textId="7013A08D" w:rsidR="00655AB3" w:rsidRPr="00781BC5" w:rsidRDefault="00655AB3" w:rsidP="00655AB3">
      <w:pPr>
        <w:rPr>
          <w:rFonts w:cs="Arial"/>
        </w:rPr>
      </w:pPr>
      <w:r w:rsidRPr="00781BC5">
        <w:rPr>
          <w:rFonts w:cs="Arial"/>
        </w:rPr>
        <w:t>Woiwod,</w:t>
      </w:r>
      <w:r w:rsidRPr="00781BC5">
        <w:rPr>
          <w:rFonts w:cs="Arial"/>
          <w:spacing w:val="-2"/>
        </w:rPr>
        <w:t xml:space="preserve"> </w:t>
      </w:r>
      <w:r w:rsidRPr="00781BC5">
        <w:rPr>
          <w:rFonts w:cs="Arial"/>
        </w:rPr>
        <w:t>M</w:t>
      </w:r>
      <w:r w:rsidRPr="00781BC5">
        <w:rPr>
          <w:rFonts w:cs="Arial"/>
          <w:spacing w:val="-2"/>
        </w:rPr>
        <w:t xml:space="preserve"> </w:t>
      </w:r>
      <w:r w:rsidRPr="00781BC5">
        <w:rPr>
          <w:rFonts w:cs="Arial"/>
        </w:rPr>
        <w:t>2010,</w:t>
      </w:r>
      <w:r w:rsidRPr="00781BC5">
        <w:rPr>
          <w:rFonts w:cs="Arial"/>
          <w:spacing w:val="-2"/>
        </w:rPr>
        <w:t xml:space="preserve"> </w:t>
      </w:r>
      <w:r w:rsidRPr="00781BC5">
        <w:rPr>
          <w:rFonts w:cs="Arial"/>
          <w:i/>
        </w:rPr>
        <w:t>The</w:t>
      </w:r>
      <w:r w:rsidRPr="00781BC5">
        <w:rPr>
          <w:rFonts w:cs="Arial"/>
          <w:i/>
          <w:spacing w:val="-4"/>
        </w:rPr>
        <w:t xml:space="preserve"> </w:t>
      </w:r>
      <w:r w:rsidRPr="00781BC5">
        <w:rPr>
          <w:rFonts w:cs="Arial"/>
          <w:i/>
        </w:rPr>
        <w:t>Christmas</w:t>
      </w:r>
      <w:r w:rsidRPr="00781BC5">
        <w:rPr>
          <w:rFonts w:cs="Arial"/>
          <w:i/>
          <w:spacing w:val="-4"/>
        </w:rPr>
        <w:t xml:space="preserve"> </w:t>
      </w:r>
      <w:r w:rsidRPr="00781BC5">
        <w:rPr>
          <w:rFonts w:cs="Arial"/>
          <w:i/>
        </w:rPr>
        <w:t>Hills</w:t>
      </w:r>
      <w:r w:rsidRPr="00781BC5">
        <w:rPr>
          <w:rFonts w:cs="Arial"/>
          <w:i/>
          <w:spacing w:val="-3"/>
        </w:rPr>
        <w:t xml:space="preserve"> </w:t>
      </w:r>
      <w:r w:rsidRPr="00781BC5">
        <w:rPr>
          <w:rFonts w:cs="Arial"/>
          <w:i/>
        </w:rPr>
        <w:t>Story:</w:t>
      </w:r>
      <w:r w:rsidRPr="00781BC5">
        <w:rPr>
          <w:rFonts w:cs="Arial"/>
          <w:i/>
          <w:spacing w:val="-2"/>
        </w:rPr>
        <w:t xml:space="preserve"> </w:t>
      </w:r>
      <w:r w:rsidRPr="00781BC5">
        <w:rPr>
          <w:rFonts w:cs="Arial"/>
          <w:i/>
        </w:rPr>
        <w:t>Once</w:t>
      </w:r>
      <w:r w:rsidRPr="00781BC5">
        <w:rPr>
          <w:rFonts w:cs="Arial"/>
          <w:i/>
          <w:spacing w:val="-2"/>
        </w:rPr>
        <w:t xml:space="preserve"> </w:t>
      </w:r>
      <w:r w:rsidRPr="00781BC5">
        <w:rPr>
          <w:rFonts w:cs="Arial"/>
          <w:i/>
        </w:rPr>
        <w:t>Around</w:t>
      </w:r>
      <w:r w:rsidRPr="00781BC5">
        <w:rPr>
          <w:rFonts w:cs="Arial"/>
          <w:i/>
          <w:spacing w:val="-2"/>
        </w:rPr>
        <w:t xml:space="preserve"> </w:t>
      </w:r>
      <w:r w:rsidRPr="00781BC5">
        <w:rPr>
          <w:rFonts w:cs="Arial"/>
          <w:i/>
        </w:rPr>
        <w:t>the</w:t>
      </w:r>
      <w:r w:rsidRPr="00781BC5">
        <w:rPr>
          <w:rFonts w:cs="Arial"/>
          <w:i/>
          <w:spacing w:val="-4"/>
        </w:rPr>
        <w:t xml:space="preserve"> </w:t>
      </w:r>
      <w:r w:rsidRPr="00781BC5">
        <w:rPr>
          <w:rFonts w:cs="Arial"/>
          <w:i/>
        </w:rPr>
        <w:t>Sugarloaf</w:t>
      </w:r>
      <w:r w:rsidRPr="00781BC5">
        <w:rPr>
          <w:rFonts w:cs="Arial"/>
          <w:i/>
          <w:spacing w:val="-3"/>
        </w:rPr>
        <w:t xml:space="preserve"> </w:t>
      </w:r>
      <w:r w:rsidRPr="00781BC5">
        <w:rPr>
          <w:rFonts w:cs="Arial"/>
          <w:i/>
        </w:rPr>
        <w:t>II</w:t>
      </w:r>
      <w:r w:rsidRPr="00781BC5">
        <w:rPr>
          <w:rFonts w:cs="Arial"/>
        </w:rPr>
        <w:t>,</w:t>
      </w:r>
      <w:r w:rsidRPr="00781BC5">
        <w:rPr>
          <w:rFonts w:cs="Arial"/>
          <w:spacing w:val="-1"/>
        </w:rPr>
        <w:t xml:space="preserve"> </w:t>
      </w:r>
      <w:r w:rsidRPr="00781BC5">
        <w:rPr>
          <w:rFonts w:cs="Arial"/>
        </w:rPr>
        <w:t>Andrew</w:t>
      </w:r>
      <w:r w:rsidRPr="00781BC5">
        <w:rPr>
          <w:rFonts w:cs="Arial"/>
          <w:spacing w:val="-2"/>
        </w:rPr>
        <w:t xml:space="preserve"> </w:t>
      </w:r>
      <w:r w:rsidRPr="00781BC5">
        <w:rPr>
          <w:rFonts w:cs="Arial"/>
        </w:rPr>
        <w:t>Ross</w:t>
      </w:r>
      <w:r w:rsidRPr="00781BC5">
        <w:rPr>
          <w:rFonts w:cs="Arial"/>
          <w:spacing w:val="-4"/>
        </w:rPr>
        <w:t xml:space="preserve"> </w:t>
      </w:r>
      <w:r w:rsidR="00F44E57" w:rsidRPr="00781BC5">
        <w:rPr>
          <w:rFonts w:cs="Arial"/>
        </w:rPr>
        <w:t>Museum,</w:t>
      </w:r>
      <w:r w:rsidR="00F44E57">
        <w:rPr>
          <w:rFonts w:cs="Arial"/>
        </w:rPr>
        <w:t xml:space="preserve"> </w:t>
      </w:r>
      <w:r w:rsidR="00F44E57" w:rsidRPr="00781BC5">
        <w:rPr>
          <w:rFonts w:cs="Arial"/>
          <w:spacing w:val="-47"/>
        </w:rPr>
        <w:t>Kangaroo</w:t>
      </w:r>
      <w:r w:rsidRPr="00781BC5">
        <w:rPr>
          <w:rFonts w:cs="Arial"/>
        </w:rPr>
        <w:t xml:space="preserve"> Ground</w:t>
      </w:r>
      <w:r w:rsidRPr="00781BC5">
        <w:rPr>
          <w:rFonts w:cs="Arial"/>
          <w:spacing w:val="1"/>
        </w:rPr>
        <w:t xml:space="preserve"> </w:t>
      </w:r>
      <w:r w:rsidRPr="00781BC5">
        <w:rPr>
          <w:rFonts w:cs="Arial"/>
        </w:rPr>
        <w:t>(Vic.).</w:t>
      </w:r>
    </w:p>
    <w:p w14:paraId="762A8842" w14:textId="281F6DEE" w:rsidR="002F4AFB" w:rsidRPr="00AD1F34" w:rsidRDefault="002F4AFB" w:rsidP="00AD1F34">
      <w:pPr>
        <w:overflowPunct/>
        <w:autoSpaceDE/>
        <w:autoSpaceDN/>
        <w:adjustRightInd/>
        <w:jc w:val="left"/>
        <w:textAlignment w:val="auto"/>
        <w:rPr>
          <w:rFonts w:cs="Arial"/>
          <w:b/>
          <w:sz w:val="21"/>
          <w:szCs w:val="21"/>
        </w:rPr>
      </w:pPr>
    </w:p>
    <w:sectPr w:rsidR="002F4AFB" w:rsidRPr="00AD1F34" w:rsidSect="00FC7300">
      <w:headerReference w:type="default" r:id="rId22"/>
      <w:footerReference w:type="default" r:id="rId23"/>
      <w:pgSz w:w="11906" w:h="16838"/>
      <w:pgMar w:top="1843" w:right="1800" w:bottom="1440" w:left="1800" w:header="284"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8139CF" w14:textId="77777777" w:rsidR="00AE66CD" w:rsidRDefault="00AE66CD">
      <w:r>
        <w:separator/>
      </w:r>
    </w:p>
  </w:endnote>
  <w:endnote w:type="continuationSeparator" w:id="0">
    <w:p w14:paraId="219B23BC" w14:textId="77777777" w:rsidR="00AE66CD" w:rsidRDefault="00AE66CD">
      <w:r>
        <w:continuationSeparator/>
      </w:r>
    </w:p>
  </w:endnote>
  <w:endnote w:type="continuationNotice" w:id="1">
    <w:p w14:paraId="15F07701" w14:textId="77777777" w:rsidR="00AE66CD" w:rsidRDefault="00AE66C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MingLiU">
    <w:altName w:val="新細明體"/>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Yu Mincho">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035FB2" w14:textId="745807B8" w:rsidR="009235F4" w:rsidRDefault="009235F4">
    <w:pPr>
      <w:pStyle w:val="Footer"/>
      <w:jc w:val="center"/>
    </w:pPr>
    <w:r>
      <w:fldChar w:fldCharType="begin"/>
    </w:r>
    <w:r>
      <w:instrText xml:space="preserve"> PAGE   \* MERGEFORMAT </w:instrText>
    </w:r>
    <w:r>
      <w:fldChar w:fldCharType="separate"/>
    </w:r>
    <w:r w:rsidR="00022321">
      <w:rPr>
        <w:noProof/>
      </w:rPr>
      <w:t>1</w:t>
    </w:r>
    <w:r>
      <w:rPr>
        <w:noProof/>
      </w:rPr>
      <w:fldChar w:fldCharType="end"/>
    </w:r>
  </w:p>
  <w:p w14:paraId="7F7B09F3" w14:textId="77777777" w:rsidR="009235F4" w:rsidRDefault="009235F4">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982139" w14:textId="77777777" w:rsidR="00AE66CD" w:rsidRDefault="00AE66CD">
      <w:r>
        <w:separator/>
      </w:r>
    </w:p>
  </w:footnote>
  <w:footnote w:type="continuationSeparator" w:id="0">
    <w:p w14:paraId="59F8BBC4" w14:textId="77777777" w:rsidR="00AE66CD" w:rsidRDefault="00AE66CD">
      <w:r>
        <w:continuationSeparator/>
      </w:r>
    </w:p>
  </w:footnote>
  <w:footnote w:type="continuationNotice" w:id="1">
    <w:p w14:paraId="09FB56C0" w14:textId="77777777" w:rsidR="00AE66CD" w:rsidRDefault="00AE66CD"/>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C0AC98" w14:textId="77777777" w:rsidR="009235F4" w:rsidRPr="00A51763" w:rsidRDefault="009235F4" w:rsidP="0053253F">
    <w:pPr>
      <w:pStyle w:val="Header"/>
      <w:jc w:val="center"/>
    </w:pPr>
    <w:r w:rsidRPr="0053253F">
      <w:rPr>
        <w:noProof/>
        <w:lang w:eastAsia="en-AU"/>
      </w:rPr>
      <w:drawing>
        <wp:inline distT="0" distB="0" distL="0" distR="0" wp14:anchorId="796D71EE" wp14:editId="5A177896">
          <wp:extent cx="999490" cy="61532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999490" cy="615321"/>
                  </a:xfrm>
                  <a:prstGeom prst="rect">
                    <a:avLst/>
                  </a:prstGeom>
                  <a:noFill/>
                  <a:ln>
                    <a:noFill/>
                  </a:ln>
                </pic:spPr>
              </pic:pic>
            </a:graphicData>
          </a:graphic>
        </wp:inline>
      </w:drawing>
    </w:r>
  </w:p>
</w:hdr>
</file>

<file path=word/intelligence.xml><?xml version="1.0" encoding="utf-8"?>
<int:Intelligence xmlns:int="http://schemas.microsoft.com/office/intelligence/2019/intelligence">
  <int:IntelligenceSettings/>
  <int:Manifest/>
  <int:Observations/>
</int:Intelligence>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93F32DD"/>
    <w:multiLevelType w:val="hybridMultilevel"/>
    <w:tmpl w:val="E7F05E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activeWritingStyle w:appName="MSWord" w:lang="es-ES" w:vendorID="64" w:dllVersion="131078" w:nlCheck="1" w:checkStyle="0"/>
  <w:activeWritingStyle w:appName="MSWord" w:lang="en-AU" w:vendorID="64" w:dllVersion="131078" w:nlCheck="1" w:checkStyle="0"/>
  <w:activeWritingStyle w:appName="MSWord" w:lang="en-US" w:vendorID="64" w:dllVersion="131078" w:nlCheck="1" w:checkStyle="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5719"/>
    <w:rsid w:val="000077B0"/>
    <w:rsid w:val="000122AD"/>
    <w:rsid w:val="00014192"/>
    <w:rsid w:val="000154DD"/>
    <w:rsid w:val="00016828"/>
    <w:rsid w:val="00022321"/>
    <w:rsid w:val="000226FB"/>
    <w:rsid w:val="00022F3C"/>
    <w:rsid w:val="00024378"/>
    <w:rsid w:val="000262DF"/>
    <w:rsid w:val="000274A4"/>
    <w:rsid w:val="00033575"/>
    <w:rsid w:val="00035200"/>
    <w:rsid w:val="000414F2"/>
    <w:rsid w:val="0004366A"/>
    <w:rsid w:val="000456A1"/>
    <w:rsid w:val="00053945"/>
    <w:rsid w:val="000545A0"/>
    <w:rsid w:val="00057B39"/>
    <w:rsid w:val="00062C40"/>
    <w:rsid w:val="000648FC"/>
    <w:rsid w:val="00066DD5"/>
    <w:rsid w:val="00073A3C"/>
    <w:rsid w:val="0007515A"/>
    <w:rsid w:val="0007686E"/>
    <w:rsid w:val="00077B83"/>
    <w:rsid w:val="00080BC0"/>
    <w:rsid w:val="00086E12"/>
    <w:rsid w:val="000A0593"/>
    <w:rsid w:val="000A2BD2"/>
    <w:rsid w:val="000A39ED"/>
    <w:rsid w:val="000A7362"/>
    <w:rsid w:val="000C2BD7"/>
    <w:rsid w:val="000C7A77"/>
    <w:rsid w:val="000D062C"/>
    <w:rsid w:val="000D19AF"/>
    <w:rsid w:val="000D4813"/>
    <w:rsid w:val="000D49CE"/>
    <w:rsid w:val="000E51B0"/>
    <w:rsid w:val="000E6362"/>
    <w:rsid w:val="000E6D08"/>
    <w:rsid w:val="000F3F6D"/>
    <w:rsid w:val="001028A3"/>
    <w:rsid w:val="0010333E"/>
    <w:rsid w:val="0010386C"/>
    <w:rsid w:val="00103D51"/>
    <w:rsid w:val="001048C4"/>
    <w:rsid w:val="00104F1F"/>
    <w:rsid w:val="00112879"/>
    <w:rsid w:val="001169F6"/>
    <w:rsid w:val="00121F33"/>
    <w:rsid w:val="001229E3"/>
    <w:rsid w:val="001233E7"/>
    <w:rsid w:val="00127E5E"/>
    <w:rsid w:val="001303D2"/>
    <w:rsid w:val="0013394E"/>
    <w:rsid w:val="001364B0"/>
    <w:rsid w:val="00140EE9"/>
    <w:rsid w:val="001469BB"/>
    <w:rsid w:val="00150D78"/>
    <w:rsid w:val="001517D4"/>
    <w:rsid w:val="001541D7"/>
    <w:rsid w:val="001612CB"/>
    <w:rsid w:val="00163F52"/>
    <w:rsid w:val="0017319C"/>
    <w:rsid w:val="001823E3"/>
    <w:rsid w:val="001855EB"/>
    <w:rsid w:val="00186158"/>
    <w:rsid w:val="001861E9"/>
    <w:rsid w:val="00191BC7"/>
    <w:rsid w:val="001A063E"/>
    <w:rsid w:val="001A52D1"/>
    <w:rsid w:val="001A7000"/>
    <w:rsid w:val="001B0F67"/>
    <w:rsid w:val="001B23A1"/>
    <w:rsid w:val="001B62CF"/>
    <w:rsid w:val="001B6354"/>
    <w:rsid w:val="001C1CE5"/>
    <w:rsid w:val="001C2B42"/>
    <w:rsid w:val="001C41D5"/>
    <w:rsid w:val="001C6550"/>
    <w:rsid w:val="001D116F"/>
    <w:rsid w:val="001D272A"/>
    <w:rsid w:val="001D4F49"/>
    <w:rsid w:val="001D64BE"/>
    <w:rsid w:val="001D69F4"/>
    <w:rsid w:val="001D6FC0"/>
    <w:rsid w:val="001D7026"/>
    <w:rsid w:val="001E3CC7"/>
    <w:rsid w:val="001E3DB8"/>
    <w:rsid w:val="001E3FAF"/>
    <w:rsid w:val="001E5E3B"/>
    <w:rsid w:val="001F7884"/>
    <w:rsid w:val="0020614E"/>
    <w:rsid w:val="00212BDB"/>
    <w:rsid w:val="00227832"/>
    <w:rsid w:val="00235A3E"/>
    <w:rsid w:val="00242B3A"/>
    <w:rsid w:val="00243455"/>
    <w:rsid w:val="0024366A"/>
    <w:rsid w:val="0024467E"/>
    <w:rsid w:val="00252F73"/>
    <w:rsid w:val="002540D5"/>
    <w:rsid w:val="00255542"/>
    <w:rsid w:val="00257F9D"/>
    <w:rsid w:val="00260939"/>
    <w:rsid w:val="00264859"/>
    <w:rsid w:val="00270891"/>
    <w:rsid w:val="00275696"/>
    <w:rsid w:val="0028102C"/>
    <w:rsid w:val="00284A2E"/>
    <w:rsid w:val="00284B92"/>
    <w:rsid w:val="002878FB"/>
    <w:rsid w:val="00292A40"/>
    <w:rsid w:val="002946A1"/>
    <w:rsid w:val="00297D7A"/>
    <w:rsid w:val="00297D9F"/>
    <w:rsid w:val="002A0331"/>
    <w:rsid w:val="002A0351"/>
    <w:rsid w:val="002A461F"/>
    <w:rsid w:val="002B0C04"/>
    <w:rsid w:val="002B1CD2"/>
    <w:rsid w:val="002B26CE"/>
    <w:rsid w:val="002B3495"/>
    <w:rsid w:val="002B4BEC"/>
    <w:rsid w:val="002B4D7C"/>
    <w:rsid w:val="002B7137"/>
    <w:rsid w:val="002C5755"/>
    <w:rsid w:val="002C5AD1"/>
    <w:rsid w:val="002C7ACC"/>
    <w:rsid w:val="002C7F3C"/>
    <w:rsid w:val="002D7C0A"/>
    <w:rsid w:val="002E22D2"/>
    <w:rsid w:val="002E26FD"/>
    <w:rsid w:val="002E4720"/>
    <w:rsid w:val="002E6BFA"/>
    <w:rsid w:val="002F0DB6"/>
    <w:rsid w:val="002F4AFB"/>
    <w:rsid w:val="002F71CD"/>
    <w:rsid w:val="00300E99"/>
    <w:rsid w:val="0030201F"/>
    <w:rsid w:val="00304154"/>
    <w:rsid w:val="00304CCC"/>
    <w:rsid w:val="0030501C"/>
    <w:rsid w:val="00307380"/>
    <w:rsid w:val="0030790E"/>
    <w:rsid w:val="00310FFD"/>
    <w:rsid w:val="0031331E"/>
    <w:rsid w:val="00315229"/>
    <w:rsid w:val="003171A9"/>
    <w:rsid w:val="0032362F"/>
    <w:rsid w:val="00323AE8"/>
    <w:rsid w:val="00323F90"/>
    <w:rsid w:val="00332D75"/>
    <w:rsid w:val="00332DD0"/>
    <w:rsid w:val="00333626"/>
    <w:rsid w:val="00335ECB"/>
    <w:rsid w:val="00336725"/>
    <w:rsid w:val="00337350"/>
    <w:rsid w:val="0034371D"/>
    <w:rsid w:val="0034382D"/>
    <w:rsid w:val="00344D5E"/>
    <w:rsid w:val="00346052"/>
    <w:rsid w:val="0034714B"/>
    <w:rsid w:val="003511D4"/>
    <w:rsid w:val="00351787"/>
    <w:rsid w:val="0035300D"/>
    <w:rsid w:val="0035305E"/>
    <w:rsid w:val="0035661D"/>
    <w:rsid w:val="00363791"/>
    <w:rsid w:val="00374236"/>
    <w:rsid w:val="003777BE"/>
    <w:rsid w:val="00380E05"/>
    <w:rsid w:val="00381489"/>
    <w:rsid w:val="00381DD7"/>
    <w:rsid w:val="003820FD"/>
    <w:rsid w:val="00390186"/>
    <w:rsid w:val="003921F6"/>
    <w:rsid w:val="00394406"/>
    <w:rsid w:val="00395133"/>
    <w:rsid w:val="00396B4B"/>
    <w:rsid w:val="003A0EF9"/>
    <w:rsid w:val="003A0F2A"/>
    <w:rsid w:val="003A3D4C"/>
    <w:rsid w:val="003A42FC"/>
    <w:rsid w:val="003A59E2"/>
    <w:rsid w:val="003A7BB8"/>
    <w:rsid w:val="003B1870"/>
    <w:rsid w:val="003B2A7D"/>
    <w:rsid w:val="003B2ECB"/>
    <w:rsid w:val="003B3C0E"/>
    <w:rsid w:val="003D3621"/>
    <w:rsid w:val="003D39C2"/>
    <w:rsid w:val="003E0985"/>
    <w:rsid w:val="003E48A4"/>
    <w:rsid w:val="003F1C4C"/>
    <w:rsid w:val="003F4991"/>
    <w:rsid w:val="003F57F8"/>
    <w:rsid w:val="003F771F"/>
    <w:rsid w:val="004004A2"/>
    <w:rsid w:val="00402BEB"/>
    <w:rsid w:val="00410215"/>
    <w:rsid w:val="00415853"/>
    <w:rsid w:val="00416D88"/>
    <w:rsid w:val="00421AD3"/>
    <w:rsid w:val="004263CB"/>
    <w:rsid w:val="00426DDD"/>
    <w:rsid w:val="00437685"/>
    <w:rsid w:val="004417BF"/>
    <w:rsid w:val="0044666D"/>
    <w:rsid w:val="00451295"/>
    <w:rsid w:val="0045236A"/>
    <w:rsid w:val="0045611C"/>
    <w:rsid w:val="0046299C"/>
    <w:rsid w:val="004634C9"/>
    <w:rsid w:val="00465000"/>
    <w:rsid w:val="00465725"/>
    <w:rsid w:val="004701D3"/>
    <w:rsid w:val="004710D3"/>
    <w:rsid w:val="00471CA3"/>
    <w:rsid w:val="00473A8D"/>
    <w:rsid w:val="004757A3"/>
    <w:rsid w:val="00475F0D"/>
    <w:rsid w:val="00476453"/>
    <w:rsid w:val="00476FCE"/>
    <w:rsid w:val="0048153F"/>
    <w:rsid w:val="00484C3E"/>
    <w:rsid w:val="00487D98"/>
    <w:rsid w:val="00487EC6"/>
    <w:rsid w:val="00492AB4"/>
    <w:rsid w:val="00497926"/>
    <w:rsid w:val="004A0B81"/>
    <w:rsid w:val="004A0E3F"/>
    <w:rsid w:val="004A296B"/>
    <w:rsid w:val="004A59FA"/>
    <w:rsid w:val="004A621D"/>
    <w:rsid w:val="004B230C"/>
    <w:rsid w:val="004B2433"/>
    <w:rsid w:val="004B3D4D"/>
    <w:rsid w:val="004B5908"/>
    <w:rsid w:val="004C04FB"/>
    <w:rsid w:val="004C33E4"/>
    <w:rsid w:val="004C38D3"/>
    <w:rsid w:val="004C39B2"/>
    <w:rsid w:val="004C6D1A"/>
    <w:rsid w:val="004D14F8"/>
    <w:rsid w:val="004D4049"/>
    <w:rsid w:val="004D7B60"/>
    <w:rsid w:val="004E3C0E"/>
    <w:rsid w:val="004E492D"/>
    <w:rsid w:val="004E6328"/>
    <w:rsid w:val="004F0E0A"/>
    <w:rsid w:val="004F1436"/>
    <w:rsid w:val="004F1652"/>
    <w:rsid w:val="004F1FAC"/>
    <w:rsid w:val="004F444B"/>
    <w:rsid w:val="004F5D01"/>
    <w:rsid w:val="00501C0F"/>
    <w:rsid w:val="0050351B"/>
    <w:rsid w:val="00507D65"/>
    <w:rsid w:val="00510634"/>
    <w:rsid w:val="00512219"/>
    <w:rsid w:val="00512F4B"/>
    <w:rsid w:val="0051478E"/>
    <w:rsid w:val="00514912"/>
    <w:rsid w:val="00517930"/>
    <w:rsid w:val="00523543"/>
    <w:rsid w:val="005271A5"/>
    <w:rsid w:val="0053253F"/>
    <w:rsid w:val="00533111"/>
    <w:rsid w:val="00533CF2"/>
    <w:rsid w:val="005342AA"/>
    <w:rsid w:val="005368AF"/>
    <w:rsid w:val="00536990"/>
    <w:rsid w:val="00541D35"/>
    <w:rsid w:val="00542995"/>
    <w:rsid w:val="0054679B"/>
    <w:rsid w:val="005504C9"/>
    <w:rsid w:val="00555263"/>
    <w:rsid w:val="005571E4"/>
    <w:rsid w:val="0055729F"/>
    <w:rsid w:val="005613FD"/>
    <w:rsid w:val="005616E9"/>
    <w:rsid w:val="005676C0"/>
    <w:rsid w:val="005716B6"/>
    <w:rsid w:val="00571C26"/>
    <w:rsid w:val="0057287B"/>
    <w:rsid w:val="00572B4A"/>
    <w:rsid w:val="00575906"/>
    <w:rsid w:val="00580661"/>
    <w:rsid w:val="00580B15"/>
    <w:rsid w:val="00581804"/>
    <w:rsid w:val="0058183A"/>
    <w:rsid w:val="005825E5"/>
    <w:rsid w:val="00582C2C"/>
    <w:rsid w:val="00585405"/>
    <w:rsid w:val="005873B1"/>
    <w:rsid w:val="0059391E"/>
    <w:rsid w:val="005A6F8A"/>
    <w:rsid w:val="005A7055"/>
    <w:rsid w:val="005B178D"/>
    <w:rsid w:val="005B2A19"/>
    <w:rsid w:val="005B320C"/>
    <w:rsid w:val="005B5100"/>
    <w:rsid w:val="005C2CB8"/>
    <w:rsid w:val="005C438E"/>
    <w:rsid w:val="005C4866"/>
    <w:rsid w:val="005C4B3F"/>
    <w:rsid w:val="005C7F9E"/>
    <w:rsid w:val="005D1278"/>
    <w:rsid w:val="005D26D9"/>
    <w:rsid w:val="005E0BB7"/>
    <w:rsid w:val="005E1CA7"/>
    <w:rsid w:val="005E739C"/>
    <w:rsid w:val="005E74D5"/>
    <w:rsid w:val="005F2C09"/>
    <w:rsid w:val="0060496A"/>
    <w:rsid w:val="0061008A"/>
    <w:rsid w:val="00617D7E"/>
    <w:rsid w:val="00621276"/>
    <w:rsid w:val="006325E7"/>
    <w:rsid w:val="006346A5"/>
    <w:rsid w:val="006350C0"/>
    <w:rsid w:val="0063627A"/>
    <w:rsid w:val="00643D69"/>
    <w:rsid w:val="00644914"/>
    <w:rsid w:val="00644E77"/>
    <w:rsid w:val="00647903"/>
    <w:rsid w:val="00647D91"/>
    <w:rsid w:val="00650FB1"/>
    <w:rsid w:val="006522AD"/>
    <w:rsid w:val="00655AB3"/>
    <w:rsid w:val="00657A60"/>
    <w:rsid w:val="00664FB9"/>
    <w:rsid w:val="00666D34"/>
    <w:rsid w:val="0068003F"/>
    <w:rsid w:val="006851AC"/>
    <w:rsid w:val="006855A7"/>
    <w:rsid w:val="00692627"/>
    <w:rsid w:val="00692B0B"/>
    <w:rsid w:val="00694372"/>
    <w:rsid w:val="006943A6"/>
    <w:rsid w:val="0069715D"/>
    <w:rsid w:val="006A317F"/>
    <w:rsid w:val="006A7DFC"/>
    <w:rsid w:val="006B0F59"/>
    <w:rsid w:val="006B1B28"/>
    <w:rsid w:val="006B1B89"/>
    <w:rsid w:val="006B26AC"/>
    <w:rsid w:val="006B3B8D"/>
    <w:rsid w:val="006C29E5"/>
    <w:rsid w:val="006C4865"/>
    <w:rsid w:val="006C621E"/>
    <w:rsid w:val="006C7983"/>
    <w:rsid w:val="006E00FE"/>
    <w:rsid w:val="006E053C"/>
    <w:rsid w:val="006E17E9"/>
    <w:rsid w:val="006F28DB"/>
    <w:rsid w:val="006F3338"/>
    <w:rsid w:val="006F3417"/>
    <w:rsid w:val="006F4068"/>
    <w:rsid w:val="006F522F"/>
    <w:rsid w:val="006F6810"/>
    <w:rsid w:val="006F7099"/>
    <w:rsid w:val="007007B0"/>
    <w:rsid w:val="00702330"/>
    <w:rsid w:val="00705E8B"/>
    <w:rsid w:val="00710788"/>
    <w:rsid w:val="00710F60"/>
    <w:rsid w:val="00711CCD"/>
    <w:rsid w:val="00713128"/>
    <w:rsid w:val="0072188C"/>
    <w:rsid w:val="007256FF"/>
    <w:rsid w:val="00733836"/>
    <w:rsid w:val="00734738"/>
    <w:rsid w:val="0073603D"/>
    <w:rsid w:val="00740B5D"/>
    <w:rsid w:val="007414A0"/>
    <w:rsid w:val="00746AC1"/>
    <w:rsid w:val="00754146"/>
    <w:rsid w:val="00755CEE"/>
    <w:rsid w:val="00757C3D"/>
    <w:rsid w:val="0076291B"/>
    <w:rsid w:val="00765B49"/>
    <w:rsid w:val="00771DBD"/>
    <w:rsid w:val="00772376"/>
    <w:rsid w:val="00773C21"/>
    <w:rsid w:val="00781BC5"/>
    <w:rsid w:val="007A044E"/>
    <w:rsid w:val="007A2A96"/>
    <w:rsid w:val="007A6927"/>
    <w:rsid w:val="007B3068"/>
    <w:rsid w:val="007C1416"/>
    <w:rsid w:val="007C78C7"/>
    <w:rsid w:val="007D2A20"/>
    <w:rsid w:val="007D3802"/>
    <w:rsid w:val="007E0147"/>
    <w:rsid w:val="007E2716"/>
    <w:rsid w:val="007E3D3F"/>
    <w:rsid w:val="007E4510"/>
    <w:rsid w:val="007E4D8F"/>
    <w:rsid w:val="007E5719"/>
    <w:rsid w:val="007F6EF9"/>
    <w:rsid w:val="00801755"/>
    <w:rsid w:val="008056A1"/>
    <w:rsid w:val="00806B85"/>
    <w:rsid w:val="00806BFA"/>
    <w:rsid w:val="00807301"/>
    <w:rsid w:val="0081123F"/>
    <w:rsid w:val="00822A40"/>
    <w:rsid w:val="008233B2"/>
    <w:rsid w:val="00823E81"/>
    <w:rsid w:val="00824D69"/>
    <w:rsid w:val="00827462"/>
    <w:rsid w:val="00827F9F"/>
    <w:rsid w:val="00831F05"/>
    <w:rsid w:val="0083304E"/>
    <w:rsid w:val="0083337F"/>
    <w:rsid w:val="00847217"/>
    <w:rsid w:val="008523BC"/>
    <w:rsid w:val="008533DF"/>
    <w:rsid w:val="00856004"/>
    <w:rsid w:val="00857AAE"/>
    <w:rsid w:val="00860845"/>
    <w:rsid w:val="00863B62"/>
    <w:rsid w:val="00866DBE"/>
    <w:rsid w:val="008726F4"/>
    <w:rsid w:val="00874B76"/>
    <w:rsid w:val="0087520F"/>
    <w:rsid w:val="008832BA"/>
    <w:rsid w:val="0088331B"/>
    <w:rsid w:val="00886778"/>
    <w:rsid w:val="00890C5B"/>
    <w:rsid w:val="00894C12"/>
    <w:rsid w:val="008A6E56"/>
    <w:rsid w:val="008B293B"/>
    <w:rsid w:val="008B398C"/>
    <w:rsid w:val="008B4ABC"/>
    <w:rsid w:val="008B54C7"/>
    <w:rsid w:val="008C1546"/>
    <w:rsid w:val="008D615C"/>
    <w:rsid w:val="008E1066"/>
    <w:rsid w:val="008E1C33"/>
    <w:rsid w:val="008E685C"/>
    <w:rsid w:val="00901985"/>
    <w:rsid w:val="00906717"/>
    <w:rsid w:val="00916EE1"/>
    <w:rsid w:val="009235F4"/>
    <w:rsid w:val="0092504C"/>
    <w:rsid w:val="0092631A"/>
    <w:rsid w:val="00926AA5"/>
    <w:rsid w:val="00932B44"/>
    <w:rsid w:val="009339BF"/>
    <w:rsid w:val="00935F75"/>
    <w:rsid w:val="00940CF0"/>
    <w:rsid w:val="00943E1D"/>
    <w:rsid w:val="009473AD"/>
    <w:rsid w:val="00947B7B"/>
    <w:rsid w:val="00950575"/>
    <w:rsid w:val="00953361"/>
    <w:rsid w:val="00953F2F"/>
    <w:rsid w:val="00955B5A"/>
    <w:rsid w:val="00961705"/>
    <w:rsid w:val="00961A8F"/>
    <w:rsid w:val="009661BE"/>
    <w:rsid w:val="00972D25"/>
    <w:rsid w:val="0097323F"/>
    <w:rsid w:val="0097558C"/>
    <w:rsid w:val="00976D8A"/>
    <w:rsid w:val="009804FE"/>
    <w:rsid w:val="00982237"/>
    <w:rsid w:val="00985A59"/>
    <w:rsid w:val="00992175"/>
    <w:rsid w:val="009968E0"/>
    <w:rsid w:val="009A1DFD"/>
    <w:rsid w:val="009B29BC"/>
    <w:rsid w:val="009B5289"/>
    <w:rsid w:val="009B79C2"/>
    <w:rsid w:val="009C1679"/>
    <w:rsid w:val="009C31D5"/>
    <w:rsid w:val="009C4DD1"/>
    <w:rsid w:val="009C5413"/>
    <w:rsid w:val="009C5830"/>
    <w:rsid w:val="009C66C4"/>
    <w:rsid w:val="009C6A03"/>
    <w:rsid w:val="009D77D6"/>
    <w:rsid w:val="009E1F6C"/>
    <w:rsid w:val="009E49BA"/>
    <w:rsid w:val="009F6C0C"/>
    <w:rsid w:val="009F7A2D"/>
    <w:rsid w:val="00A0352A"/>
    <w:rsid w:val="00A03A13"/>
    <w:rsid w:val="00A06286"/>
    <w:rsid w:val="00A0660D"/>
    <w:rsid w:val="00A069E2"/>
    <w:rsid w:val="00A06A85"/>
    <w:rsid w:val="00A074EB"/>
    <w:rsid w:val="00A07B8F"/>
    <w:rsid w:val="00A11BBE"/>
    <w:rsid w:val="00A2027A"/>
    <w:rsid w:val="00A23DFA"/>
    <w:rsid w:val="00A2643E"/>
    <w:rsid w:val="00A2700F"/>
    <w:rsid w:val="00A30183"/>
    <w:rsid w:val="00A30E7B"/>
    <w:rsid w:val="00A34E9B"/>
    <w:rsid w:val="00A37780"/>
    <w:rsid w:val="00A3788B"/>
    <w:rsid w:val="00A40315"/>
    <w:rsid w:val="00A443BF"/>
    <w:rsid w:val="00A47DD2"/>
    <w:rsid w:val="00A51763"/>
    <w:rsid w:val="00A550D6"/>
    <w:rsid w:val="00A5746B"/>
    <w:rsid w:val="00A61521"/>
    <w:rsid w:val="00A617C0"/>
    <w:rsid w:val="00A71133"/>
    <w:rsid w:val="00A765A2"/>
    <w:rsid w:val="00A82187"/>
    <w:rsid w:val="00A83DA8"/>
    <w:rsid w:val="00A87ACF"/>
    <w:rsid w:val="00A907A0"/>
    <w:rsid w:val="00A908BD"/>
    <w:rsid w:val="00AA2B0C"/>
    <w:rsid w:val="00AB2579"/>
    <w:rsid w:val="00AB2763"/>
    <w:rsid w:val="00AB342F"/>
    <w:rsid w:val="00AB410D"/>
    <w:rsid w:val="00AC16DE"/>
    <w:rsid w:val="00AC1E03"/>
    <w:rsid w:val="00AC3E87"/>
    <w:rsid w:val="00AC54F1"/>
    <w:rsid w:val="00AC5FEF"/>
    <w:rsid w:val="00AD1F34"/>
    <w:rsid w:val="00AD47BB"/>
    <w:rsid w:val="00AD4D7C"/>
    <w:rsid w:val="00AD656E"/>
    <w:rsid w:val="00AE2D68"/>
    <w:rsid w:val="00AE582B"/>
    <w:rsid w:val="00AE66CD"/>
    <w:rsid w:val="00AE7A2E"/>
    <w:rsid w:val="00AF0433"/>
    <w:rsid w:val="00AF65C3"/>
    <w:rsid w:val="00B00618"/>
    <w:rsid w:val="00B009DC"/>
    <w:rsid w:val="00B03515"/>
    <w:rsid w:val="00B045F8"/>
    <w:rsid w:val="00B064ED"/>
    <w:rsid w:val="00B073B7"/>
    <w:rsid w:val="00B12355"/>
    <w:rsid w:val="00B165FC"/>
    <w:rsid w:val="00B17B59"/>
    <w:rsid w:val="00B20236"/>
    <w:rsid w:val="00B20F86"/>
    <w:rsid w:val="00B317D8"/>
    <w:rsid w:val="00B31C37"/>
    <w:rsid w:val="00B37D8E"/>
    <w:rsid w:val="00B435E4"/>
    <w:rsid w:val="00B43B34"/>
    <w:rsid w:val="00B4450C"/>
    <w:rsid w:val="00B46E5F"/>
    <w:rsid w:val="00B55912"/>
    <w:rsid w:val="00B61434"/>
    <w:rsid w:val="00B6272B"/>
    <w:rsid w:val="00B63B7C"/>
    <w:rsid w:val="00B65D07"/>
    <w:rsid w:val="00B712CE"/>
    <w:rsid w:val="00B77B2E"/>
    <w:rsid w:val="00B77EF4"/>
    <w:rsid w:val="00B80D58"/>
    <w:rsid w:val="00B80EEA"/>
    <w:rsid w:val="00B818B2"/>
    <w:rsid w:val="00B83014"/>
    <w:rsid w:val="00B86771"/>
    <w:rsid w:val="00B9089C"/>
    <w:rsid w:val="00B94BA4"/>
    <w:rsid w:val="00B9734A"/>
    <w:rsid w:val="00B97863"/>
    <w:rsid w:val="00BB135B"/>
    <w:rsid w:val="00BC00D1"/>
    <w:rsid w:val="00BC28F8"/>
    <w:rsid w:val="00BC34EC"/>
    <w:rsid w:val="00BC4718"/>
    <w:rsid w:val="00BD08EE"/>
    <w:rsid w:val="00BD1094"/>
    <w:rsid w:val="00BD2E32"/>
    <w:rsid w:val="00BD6ADE"/>
    <w:rsid w:val="00BE70BE"/>
    <w:rsid w:val="00BF1405"/>
    <w:rsid w:val="00BF6A9B"/>
    <w:rsid w:val="00C072D6"/>
    <w:rsid w:val="00C12905"/>
    <w:rsid w:val="00C20CE6"/>
    <w:rsid w:val="00C20D8B"/>
    <w:rsid w:val="00C2601D"/>
    <w:rsid w:val="00C26A4E"/>
    <w:rsid w:val="00C32B67"/>
    <w:rsid w:val="00C33781"/>
    <w:rsid w:val="00C34049"/>
    <w:rsid w:val="00C34901"/>
    <w:rsid w:val="00C35344"/>
    <w:rsid w:val="00C365F4"/>
    <w:rsid w:val="00C3798F"/>
    <w:rsid w:val="00C517B8"/>
    <w:rsid w:val="00C53A3F"/>
    <w:rsid w:val="00C6430C"/>
    <w:rsid w:val="00C648DA"/>
    <w:rsid w:val="00C734F3"/>
    <w:rsid w:val="00C759C2"/>
    <w:rsid w:val="00C771E8"/>
    <w:rsid w:val="00C81AFE"/>
    <w:rsid w:val="00C85C2C"/>
    <w:rsid w:val="00C86C9D"/>
    <w:rsid w:val="00C87500"/>
    <w:rsid w:val="00C94378"/>
    <w:rsid w:val="00C95C44"/>
    <w:rsid w:val="00C979E9"/>
    <w:rsid w:val="00CA0CD4"/>
    <w:rsid w:val="00CA1185"/>
    <w:rsid w:val="00CA1C83"/>
    <w:rsid w:val="00CA52CB"/>
    <w:rsid w:val="00CA52EE"/>
    <w:rsid w:val="00CC4AED"/>
    <w:rsid w:val="00CC6CB0"/>
    <w:rsid w:val="00CC798F"/>
    <w:rsid w:val="00CD115E"/>
    <w:rsid w:val="00CD11DA"/>
    <w:rsid w:val="00CD1514"/>
    <w:rsid w:val="00CD1F7B"/>
    <w:rsid w:val="00CD2250"/>
    <w:rsid w:val="00CD4B20"/>
    <w:rsid w:val="00CD70DA"/>
    <w:rsid w:val="00CE0325"/>
    <w:rsid w:val="00CE178F"/>
    <w:rsid w:val="00CE207F"/>
    <w:rsid w:val="00CF4CBD"/>
    <w:rsid w:val="00CF529E"/>
    <w:rsid w:val="00D00A0D"/>
    <w:rsid w:val="00D00D58"/>
    <w:rsid w:val="00D032B9"/>
    <w:rsid w:val="00D05507"/>
    <w:rsid w:val="00D073CC"/>
    <w:rsid w:val="00D103EC"/>
    <w:rsid w:val="00D12639"/>
    <w:rsid w:val="00D13815"/>
    <w:rsid w:val="00D153A4"/>
    <w:rsid w:val="00D170EA"/>
    <w:rsid w:val="00D2086E"/>
    <w:rsid w:val="00D232AE"/>
    <w:rsid w:val="00D2332B"/>
    <w:rsid w:val="00D25BFC"/>
    <w:rsid w:val="00D33851"/>
    <w:rsid w:val="00D33FFE"/>
    <w:rsid w:val="00D355A0"/>
    <w:rsid w:val="00D415A7"/>
    <w:rsid w:val="00D4221F"/>
    <w:rsid w:val="00D445FC"/>
    <w:rsid w:val="00D4497A"/>
    <w:rsid w:val="00D5388D"/>
    <w:rsid w:val="00D56845"/>
    <w:rsid w:val="00D614E4"/>
    <w:rsid w:val="00D662E2"/>
    <w:rsid w:val="00D74368"/>
    <w:rsid w:val="00D7532A"/>
    <w:rsid w:val="00D75850"/>
    <w:rsid w:val="00D77D92"/>
    <w:rsid w:val="00D9004F"/>
    <w:rsid w:val="00D91FF7"/>
    <w:rsid w:val="00D95E86"/>
    <w:rsid w:val="00D9610E"/>
    <w:rsid w:val="00D962F9"/>
    <w:rsid w:val="00DA021A"/>
    <w:rsid w:val="00DA1959"/>
    <w:rsid w:val="00DA53DE"/>
    <w:rsid w:val="00DA635F"/>
    <w:rsid w:val="00DB2CEC"/>
    <w:rsid w:val="00DB3CD6"/>
    <w:rsid w:val="00DB5A1D"/>
    <w:rsid w:val="00DB74F6"/>
    <w:rsid w:val="00DC1F4D"/>
    <w:rsid w:val="00DC38C0"/>
    <w:rsid w:val="00DC40F3"/>
    <w:rsid w:val="00DC4E68"/>
    <w:rsid w:val="00DC6A9D"/>
    <w:rsid w:val="00DD39F8"/>
    <w:rsid w:val="00DE0308"/>
    <w:rsid w:val="00DE3767"/>
    <w:rsid w:val="00DE6267"/>
    <w:rsid w:val="00DF3EC0"/>
    <w:rsid w:val="00DF3F21"/>
    <w:rsid w:val="00DF45F6"/>
    <w:rsid w:val="00DF45FC"/>
    <w:rsid w:val="00E03DC3"/>
    <w:rsid w:val="00E0419F"/>
    <w:rsid w:val="00E053A9"/>
    <w:rsid w:val="00E05A34"/>
    <w:rsid w:val="00E0797B"/>
    <w:rsid w:val="00E12225"/>
    <w:rsid w:val="00E178B2"/>
    <w:rsid w:val="00E17EC6"/>
    <w:rsid w:val="00E230B8"/>
    <w:rsid w:val="00E23192"/>
    <w:rsid w:val="00E241E5"/>
    <w:rsid w:val="00E24D96"/>
    <w:rsid w:val="00E30D7B"/>
    <w:rsid w:val="00E360F8"/>
    <w:rsid w:val="00E50125"/>
    <w:rsid w:val="00E640A5"/>
    <w:rsid w:val="00E65E82"/>
    <w:rsid w:val="00E71BB7"/>
    <w:rsid w:val="00E76B74"/>
    <w:rsid w:val="00E76CFE"/>
    <w:rsid w:val="00E818E8"/>
    <w:rsid w:val="00E82BC1"/>
    <w:rsid w:val="00E84358"/>
    <w:rsid w:val="00E84D0A"/>
    <w:rsid w:val="00E84DE9"/>
    <w:rsid w:val="00E87D15"/>
    <w:rsid w:val="00E901E6"/>
    <w:rsid w:val="00E903E7"/>
    <w:rsid w:val="00EA2635"/>
    <w:rsid w:val="00EA43DE"/>
    <w:rsid w:val="00EA602F"/>
    <w:rsid w:val="00EA7DF3"/>
    <w:rsid w:val="00EB1086"/>
    <w:rsid w:val="00EB19F9"/>
    <w:rsid w:val="00EB2076"/>
    <w:rsid w:val="00EC152E"/>
    <w:rsid w:val="00EC240C"/>
    <w:rsid w:val="00EC2E5D"/>
    <w:rsid w:val="00EC6C11"/>
    <w:rsid w:val="00ED12E2"/>
    <w:rsid w:val="00ED14BB"/>
    <w:rsid w:val="00ED25C0"/>
    <w:rsid w:val="00ED3F1F"/>
    <w:rsid w:val="00ED45AE"/>
    <w:rsid w:val="00EE0374"/>
    <w:rsid w:val="00EE27B2"/>
    <w:rsid w:val="00EE548E"/>
    <w:rsid w:val="00EE592D"/>
    <w:rsid w:val="00EE5F23"/>
    <w:rsid w:val="00EE6F90"/>
    <w:rsid w:val="00EF006C"/>
    <w:rsid w:val="00EF6713"/>
    <w:rsid w:val="00F0333B"/>
    <w:rsid w:val="00F03497"/>
    <w:rsid w:val="00F0661C"/>
    <w:rsid w:val="00F06F31"/>
    <w:rsid w:val="00F10CDD"/>
    <w:rsid w:val="00F1374C"/>
    <w:rsid w:val="00F244A9"/>
    <w:rsid w:val="00F25479"/>
    <w:rsid w:val="00F27090"/>
    <w:rsid w:val="00F270A5"/>
    <w:rsid w:val="00F320E5"/>
    <w:rsid w:val="00F35E67"/>
    <w:rsid w:val="00F412AE"/>
    <w:rsid w:val="00F42E7A"/>
    <w:rsid w:val="00F445E9"/>
    <w:rsid w:val="00F44E57"/>
    <w:rsid w:val="00F464D2"/>
    <w:rsid w:val="00F5091E"/>
    <w:rsid w:val="00F607D7"/>
    <w:rsid w:val="00F6593A"/>
    <w:rsid w:val="00F679BB"/>
    <w:rsid w:val="00F75BCF"/>
    <w:rsid w:val="00F87D41"/>
    <w:rsid w:val="00F92D36"/>
    <w:rsid w:val="00F93122"/>
    <w:rsid w:val="00F97947"/>
    <w:rsid w:val="00FA0697"/>
    <w:rsid w:val="00FA29AD"/>
    <w:rsid w:val="00FA2AB0"/>
    <w:rsid w:val="00FA36A7"/>
    <w:rsid w:val="00FB3364"/>
    <w:rsid w:val="00FB4871"/>
    <w:rsid w:val="00FB7128"/>
    <w:rsid w:val="00FC5A59"/>
    <w:rsid w:val="00FC6BF7"/>
    <w:rsid w:val="00FC7300"/>
    <w:rsid w:val="00FD156F"/>
    <w:rsid w:val="00FE0238"/>
    <w:rsid w:val="00FE3947"/>
    <w:rsid w:val="00FF1A07"/>
    <w:rsid w:val="03448817"/>
    <w:rsid w:val="0515C368"/>
    <w:rsid w:val="0542F3BB"/>
    <w:rsid w:val="06F50DB6"/>
    <w:rsid w:val="075196F8"/>
    <w:rsid w:val="07C658F1"/>
    <w:rsid w:val="091DFB8C"/>
    <w:rsid w:val="0A7C8E8E"/>
    <w:rsid w:val="0D32C42B"/>
    <w:rsid w:val="0D33FB3A"/>
    <w:rsid w:val="0EDDFB89"/>
    <w:rsid w:val="108CE034"/>
    <w:rsid w:val="112867E3"/>
    <w:rsid w:val="171AA6EA"/>
    <w:rsid w:val="1805E4DF"/>
    <w:rsid w:val="1C3C5540"/>
    <w:rsid w:val="1FDA9461"/>
    <w:rsid w:val="220D4FF4"/>
    <w:rsid w:val="2987ADB3"/>
    <w:rsid w:val="2B1D906E"/>
    <w:rsid w:val="2D393618"/>
    <w:rsid w:val="31F04E13"/>
    <w:rsid w:val="33DEF63B"/>
    <w:rsid w:val="34134F72"/>
    <w:rsid w:val="3F2425ED"/>
    <w:rsid w:val="3FC870CB"/>
    <w:rsid w:val="42204442"/>
    <w:rsid w:val="4301253C"/>
    <w:rsid w:val="43628797"/>
    <w:rsid w:val="49E8B425"/>
    <w:rsid w:val="4A21686B"/>
    <w:rsid w:val="4A47764B"/>
    <w:rsid w:val="4BD7A95C"/>
    <w:rsid w:val="4BF43D19"/>
    <w:rsid w:val="4DAEBEBC"/>
    <w:rsid w:val="4E6FA675"/>
    <w:rsid w:val="4E9A9429"/>
    <w:rsid w:val="50767ADB"/>
    <w:rsid w:val="50E65F7E"/>
    <w:rsid w:val="52822FDF"/>
    <w:rsid w:val="53695C4C"/>
    <w:rsid w:val="541E0040"/>
    <w:rsid w:val="549E0129"/>
    <w:rsid w:val="56C570C5"/>
    <w:rsid w:val="57BB30E9"/>
    <w:rsid w:val="5A8D41C4"/>
    <w:rsid w:val="5B93F2AC"/>
    <w:rsid w:val="5ED70E6F"/>
    <w:rsid w:val="6021BE5D"/>
    <w:rsid w:val="66533B43"/>
    <w:rsid w:val="6795CD4D"/>
    <w:rsid w:val="68465F62"/>
    <w:rsid w:val="6B60F348"/>
    <w:rsid w:val="6D3ACA2C"/>
    <w:rsid w:val="71C1BC7C"/>
    <w:rsid w:val="730A1D9E"/>
    <w:rsid w:val="73DD6226"/>
    <w:rsid w:val="78CE3169"/>
    <w:rsid w:val="79C9EAF9"/>
    <w:rsid w:val="7E13BA5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D181A0A"/>
  <w15:chartTrackingRefBased/>
  <w15:docId w15:val="{E88D538D-2B56-484B-A419-23011C6F69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PMingLiU"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3"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65C3"/>
    <w:pPr>
      <w:overflowPunct w:val="0"/>
      <w:autoSpaceDE w:val="0"/>
      <w:autoSpaceDN w:val="0"/>
      <w:adjustRightInd w:val="0"/>
      <w:jc w:val="both"/>
      <w:textAlignment w:val="baseline"/>
    </w:pPr>
    <w:rPr>
      <w:rFonts w:ascii="Arial" w:hAnsi="Arial"/>
      <w:lang w:eastAsia="en-US"/>
    </w:rPr>
  </w:style>
  <w:style w:type="paragraph" w:styleId="Heading3">
    <w:name w:val="heading 3"/>
    <w:basedOn w:val="Normal"/>
    <w:next w:val="Normal"/>
    <w:link w:val="Heading3Char"/>
    <w:uiPriority w:val="9"/>
    <w:semiHidden/>
    <w:unhideWhenUsed/>
    <w:qFormat/>
    <w:rsid w:val="00297D9F"/>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qFormat/>
    <w:rsid w:val="00F0333B"/>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6E00FE"/>
    <w:pPr>
      <w:tabs>
        <w:tab w:val="center" w:pos="4153"/>
        <w:tab w:val="right" w:pos="8306"/>
      </w:tabs>
    </w:pPr>
  </w:style>
  <w:style w:type="paragraph" w:styleId="Footer">
    <w:name w:val="footer"/>
    <w:basedOn w:val="Normal"/>
    <w:link w:val="FooterChar"/>
    <w:uiPriority w:val="99"/>
    <w:rsid w:val="006E00FE"/>
    <w:pPr>
      <w:tabs>
        <w:tab w:val="center" w:pos="4153"/>
        <w:tab w:val="right" w:pos="8306"/>
      </w:tabs>
    </w:pPr>
  </w:style>
  <w:style w:type="table" w:styleId="TableGrid">
    <w:name w:val="Table Grid"/>
    <w:basedOn w:val="TableNormal"/>
    <w:rsid w:val="00FA29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ataSheetText">
    <w:name w:val="Data Sheet Text"/>
    <w:basedOn w:val="Normal"/>
    <w:link w:val="DataSheetTextChar"/>
    <w:rsid w:val="00F0333B"/>
    <w:pPr>
      <w:overflowPunct/>
      <w:autoSpaceDE/>
      <w:autoSpaceDN/>
      <w:adjustRightInd/>
      <w:spacing w:line="240" w:lineRule="exact"/>
      <w:jc w:val="left"/>
      <w:textAlignment w:val="auto"/>
    </w:pPr>
    <w:rPr>
      <w:rFonts w:ascii="Verdana" w:hAnsi="Verdana"/>
      <w:sz w:val="18"/>
      <w:lang w:val="en-US"/>
    </w:rPr>
  </w:style>
  <w:style w:type="character" w:customStyle="1" w:styleId="DataSheetTextChar">
    <w:name w:val="Data Sheet Text Char"/>
    <w:link w:val="DataSheetText"/>
    <w:rsid w:val="00F0333B"/>
    <w:rPr>
      <w:rFonts w:ascii="Verdana" w:hAnsi="Verdana"/>
      <w:sz w:val="18"/>
      <w:lang w:val="en-US" w:eastAsia="en-US" w:bidi="ar-SA"/>
    </w:rPr>
  </w:style>
  <w:style w:type="paragraph" w:customStyle="1" w:styleId="DataSheetTextBold">
    <w:name w:val="Data Sheet Text Bold"/>
    <w:basedOn w:val="DataSheetText"/>
    <w:rsid w:val="00F0333B"/>
    <w:rPr>
      <w:b/>
      <w:szCs w:val="18"/>
    </w:rPr>
  </w:style>
  <w:style w:type="paragraph" w:customStyle="1" w:styleId="DataSheetItalics">
    <w:name w:val="Data Sheet Italics"/>
    <w:basedOn w:val="DataSheetText"/>
    <w:link w:val="DataSheetItalicsChar"/>
    <w:rsid w:val="00F0333B"/>
    <w:rPr>
      <w:i/>
      <w:iCs/>
    </w:rPr>
  </w:style>
  <w:style w:type="character" w:customStyle="1" w:styleId="DataSheetItalicsChar">
    <w:name w:val="Data Sheet Italics Char"/>
    <w:link w:val="DataSheetItalics"/>
    <w:rsid w:val="00F0333B"/>
    <w:rPr>
      <w:rFonts w:ascii="Verdana" w:hAnsi="Verdana"/>
      <w:i/>
      <w:iCs/>
      <w:sz w:val="18"/>
      <w:lang w:val="en-US" w:eastAsia="en-US" w:bidi="ar-SA"/>
    </w:rPr>
  </w:style>
  <w:style w:type="paragraph" w:customStyle="1" w:styleId="DataSheetHeadings">
    <w:name w:val="Data Sheet Headings"/>
    <w:basedOn w:val="Heading4"/>
    <w:rsid w:val="00F0333B"/>
    <w:pPr>
      <w:overflowPunct/>
      <w:autoSpaceDE/>
      <w:autoSpaceDN/>
      <w:adjustRightInd/>
      <w:spacing w:before="120" w:after="80" w:line="260" w:lineRule="exact"/>
      <w:ind w:left="822" w:hanging="822"/>
      <w:jc w:val="left"/>
      <w:textAlignment w:val="auto"/>
    </w:pPr>
    <w:rPr>
      <w:rFonts w:ascii="Verdana" w:hAnsi="Verdana"/>
      <w:sz w:val="18"/>
      <w:szCs w:val="20"/>
      <w:lang w:val="en-US"/>
    </w:rPr>
  </w:style>
  <w:style w:type="character" w:styleId="PageNumber">
    <w:name w:val="page number"/>
    <w:basedOn w:val="DefaultParagraphFont"/>
    <w:rsid w:val="00F0333B"/>
  </w:style>
  <w:style w:type="character" w:customStyle="1" w:styleId="FooterChar">
    <w:name w:val="Footer Char"/>
    <w:link w:val="Footer"/>
    <w:uiPriority w:val="99"/>
    <w:rsid w:val="00856004"/>
    <w:rPr>
      <w:sz w:val="24"/>
      <w:lang w:eastAsia="en-US"/>
    </w:rPr>
  </w:style>
  <w:style w:type="paragraph" w:styleId="Caption">
    <w:name w:val="caption"/>
    <w:aliases w:val="Caption for photos,figures &amp; diagrams"/>
    <w:basedOn w:val="Normal"/>
    <w:next w:val="Normal"/>
    <w:uiPriority w:val="35"/>
    <w:qFormat/>
    <w:rsid w:val="00E0419F"/>
    <w:pPr>
      <w:overflowPunct/>
      <w:autoSpaceDE/>
      <w:autoSpaceDN/>
      <w:adjustRightInd/>
      <w:spacing w:after="120"/>
      <w:ind w:left="1134"/>
      <w:jc w:val="left"/>
      <w:textAlignment w:val="auto"/>
    </w:pPr>
    <w:rPr>
      <w:rFonts w:ascii="Garamond" w:hAnsi="Garamond" w:cs="Arial"/>
      <w:i/>
      <w:szCs w:val="22"/>
      <w:lang w:eastAsia="en-AU"/>
    </w:rPr>
  </w:style>
  <w:style w:type="character" w:styleId="CommentReference">
    <w:name w:val="annotation reference"/>
    <w:uiPriority w:val="99"/>
    <w:semiHidden/>
    <w:unhideWhenUsed/>
    <w:rsid w:val="00A87ACF"/>
    <w:rPr>
      <w:sz w:val="16"/>
      <w:szCs w:val="16"/>
    </w:rPr>
  </w:style>
  <w:style w:type="paragraph" w:styleId="CommentText">
    <w:name w:val="annotation text"/>
    <w:basedOn w:val="Normal"/>
    <w:link w:val="CommentTextChar"/>
    <w:uiPriority w:val="99"/>
    <w:semiHidden/>
    <w:unhideWhenUsed/>
    <w:rsid w:val="00A87ACF"/>
  </w:style>
  <w:style w:type="character" w:customStyle="1" w:styleId="CommentTextChar">
    <w:name w:val="Comment Text Char"/>
    <w:link w:val="CommentText"/>
    <w:uiPriority w:val="99"/>
    <w:semiHidden/>
    <w:rsid w:val="00A87ACF"/>
    <w:rPr>
      <w:lang w:val="en-AU"/>
    </w:rPr>
  </w:style>
  <w:style w:type="paragraph" w:styleId="CommentSubject">
    <w:name w:val="annotation subject"/>
    <w:basedOn w:val="CommentText"/>
    <w:next w:val="CommentText"/>
    <w:link w:val="CommentSubjectChar"/>
    <w:uiPriority w:val="99"/>
    <w:semiHidden/>
    <w:unhideWhenUsed/>
    <w:rsid w:val="00A87ACF"/>
    <w:rPr>
      <w:b/>
      <w:bCs/>
    </w:rPr>
  </w:style>
  <w:style w:type="character" w:customStyle="1" w:styleId="CommentSubjectChar">
    <w:name w:val="Comment Subject Char"/>
    <w:link w:val="CommentSubject"/>
    <w:uiPriority w:val="99"/>
    <w:semiHidden/>
    <w:rsid w:val="00A87ACF"/>
    <w:rPr>
      <w:b/>
      <w:bCs/>
      <w:lang w:val="en-AU"/>
    </w:rPr>
  </w:style>
  <w:style w:type="paragraph" w:styleId="BalloonText">
    <w:name w:val="Balloon Text"/>
    <w:basedOn w:val="Normal"/>
    <w:link w:val="BalloonTextChar"/>
    <w:uiPriority w:val="99"/>
    <w:semiHidden/>
    <w:unhideWhenUsed/>
    <w:rsid w:val="00A87ACF"/>
    <w:rPr>
      <w:rFonts w:ascii="Segoe UI" w:hAnsi="Segoe UI" w:cs="Segoe UI"/>
      <w:sz w:val="18"/>
      <w:szCs w:val="18"/>
    </w:rPr>
  </w:style>
  <w:style w:type="character" w:customStyle="1" w:styleId="BalloonTextChar">
    <w:name w:val="Balloon Text Char"/>
    <w:link w:val="BalloonText"/>
    <w:uiPriority w:val="99"/>
    <w:semiHidden/>
    <w:rsid w:val="00A87ACF"/>
    <w:rPr>
      <w:rFonts w:ascii="Segoe UI" w:hAnsi="Segoe UI" w:cs="Segoe UI"/>
      <w:sz w:val="18"/>
      <w:szCs w:val="18"/>
      <w:lang w:val="en-AU"/>
    </w:rPr>
  </w:style>
  <w:style w:type="paragraph" w:customStyle="1" w:styleId="Default">
    <w:name w:val="Default"/>
    <w:rsid w:val="0034382D"/>
    <w:pPr>
      <w:autoSpaceDE w:val="0"/>
      <w:autoSpaceDN w:val="0"/>
      <w:adjustRightInd w:val="0"/>
    </w:pPr>
    <w:rPr>
      <w:rFonts w:ascii="Arial" w:hAnsi="Arial" w:cs="Arial"/>
      <w:color w:val="000000"/>
      <w:sz w:val="24"/>
      <w:szCs w:val="24"/>
      <w:lang w:val="en-US"/>
    </w:rPr>
  </w:style>
  <w:style w:type="paragraph" w:styleId="FootnoteText">
    <w:name w:val="footnote text"/>
    <w:basedOn w:val="Normal"/>
    <w:link w:val="FootnoteTextChar"/>
    <w:uiPriority w:val="99"/>
    <w:semiHidden/>
    <w:unhideWhenUsed/>
    <w:rsid w:val="00F445E9"/>
  </w:style>
  <w:style w:type="character" w:customStyle="1" w:styleId="FootnoteTextChar">
    <w:name w:val="Footnote Text Char"/>
    <w:basedOn w:val="DefaultParagraphFont"/>
    <w:link w:val="FootnoteText"/>
    <w:uiPriority w:val="99"/>
    <w:semiHidden/>
    <w:rsid w:val="00F445E9"/>
    <w:rPr>
      <w:lang w:eastAsia="en-US"/>
    </w:rPr>
  </w:style>
  <w:style w:type="character" w:styleId="FootnoteReference">
    <w:name w:val="footnote reference"/>
    <w:basedOn w:val="DefaultParagraphFont"/>
    <w:uiPriority w:val="99"/>
    <w:semiHidden/>
    <w:unhideWhenUsed/>
    <w:rsid w:val="00F445E9"/>
    <w:rPr>
      <w:vertAlign w:val="superscript"/>
    </w:rPr>
  </w:style>
  <w:style w:type="character" w:customStyle="1" w:styleId="Heading3Char">
    <w:name w:val="Heading 3 Char"/>
    <w:basedOn w:val="DefaultParagraphFont"/>
    <w:link w:val="Heading3"/>
    <w:uiPriority w:val="9"/>
    <w:semiHidden/>
    <w:rsid w:val="00297D9F"/>
    <w:rPr>
      <w:rFonts w:asciiTheme="majorHAnsi" w:eastAsiaTheme="majorEastAsia" w:hAnsiTheme="majorHAnsi" w:cstheme="majorBidi"/>
      <w:color w:val="1F4D78" w:themeColor="accent1" w:themeShade="7F"/>
      <w:sz w:val="24"/>
      <w:szCs w:val="24"/>
      <w:lang w:eastAsia="en-US"/>
    </w:rPr>
  </w:style>
  <w:style w:type="character" w:styleId="Hyperlink">
    <w:name w:val="Hyperlink"/>
    <w:basedOn w:val="DefaultParagraphFont"/>
    <w:uiPriority w:val="99"/>
    <w:unhideWhenUsed/>
    <w:rsid w:val="00297D9F"/>
    <w:rPr>
      <w:color w:val="0000FF"/>
      <w:u w:val="single"/>
    </w:rPr>
  </w:style>
  <w:style w:type="character" w:customStyle="1" w:styleId="apple-converted-space">
    <w:name w:val="apple-converted-space"/>
    <w:basedOn w:val="DefaultParagraphFont"/>
    <w:rsid w:val="00297D9F"/>
  </w:style>
  <w:style w:type="character" w:customStyle="1" w:styleId="style-scope">
    <w:name w:val="style-scope"/>
    <w:basedOn w:val="DefaultParagraphFont"/>
    <w:rsid w:val="00297D9F"/>
  </w:style>
  <w:style w:type="paragraph" w:styleId="NormalWeb">
    <w:name w:val="Normal (Web)"/>
    <w:basedOn w:val="Normal"/>
    <w:uiPriority w:val="99"/>
    <w:semiHidden/>
    <w:unhideWhenUsed/>
    <w:rsid w:val="00297D9F"/>
    <w:pPr>
      <w:overflowPunct/>
      <w:autoSpaceDE/>
      <w:autoSpaceDN/>
      <w:adjustRightInd/>
      <w:spacing w:before="100" w:beforeAutospacing="1" w:after="100" w:afterAutospacing="1"/>
      <w:jc w:val="left"/>
      <w:textAlignment w:val="auto"/>
    </w:pPr>
    <w:rPr>
      <w:szCs w:val="24"/>
      <w:lang w:val="en-US"/>
    </w:rPr>
  </w:style>
  <w:style w:type="paragraph" w:styleId="Quote">
    <w:name w:val="Quote"/>
    <w:basedOn w:val="Normal"/>
    <w:next w:val="Normal"/>
    <w:link w:val="QuoteChar"/>
    <w:autoRedefine/>
    <w:uiPriority w:val="73"/>
    <w:qFormat/>
    <w:rsid w:val="001D272A"/>
    <w:pPr>
      <w:ind w:left="720"/>
    </w:pPr>
    <w:rPr>
      <w:i/>
      <w:iCs/>
      <w:color w:val="000000" w:themeColor="text1"/>
      <w:sz w:val="21"/>
    </w:rPr>
  </w:style>
  <w:style w:type="character" w:customStyle="1" w:styleId="QuoteChar">
    <w:name w:val="Quote Char"/>
    <w:basedOn w:val="DefaultParagraphFont"/>
    <w:link w:val="Quote"/>
    <w:uiPriority w:val="73"/>
    <w:rsid w:val="001D272A"/>
    <w:rPr>
      <w:rFonts w:ascii="Arial" w:hAnsi="Arial"/>
      <w:i/>
      <w:iCs/>
      <w:color w:val="000000" w:themeColor="text1"/>
      <w:sz w:val="21"/>
      <w:lang w:eastAsia="en-US"/>
    </w:rPr>
  </w:style>
  <w:style w:type="character" w:customStyle="1" w:styleId="UnresolvedMention">
    <w:name w:val="Unresolved Mention"/>
    <w:basedOn w:val="DefaultParagraphFont"/>
    <w:uiPriority w:val="99"/>
    <w:semiHidden/>
    <w:unhideWhenUsed/>
    <w:rsid w:val="00901985"/>
    <w:rPr>
      <w:color w:val="808080"/>
      <w:shd w:val="clear" w:color="auto" w:fill="E6E6E6"/>
    </w:rPr>
  </w:style>
  <w:style w:type="paragraph" w:styleId="ListParagraph">
    <w:name w:val="List Paragraph"/>
    <w:basedOn w:val="Normal"/>
    <w:uiPriority w:val="34"/>
    <w:qFormat/>
    <w:rsid w:val="008B4ABC"/>
    <w:pPr>
      <w:ind w:left="720"/>
      <w:contextualSpacing/>
    </w:pPr>
  </w:style>
  <w:style w:type="paragraph" w:styleId="BodyText">
    <w:name w:val="Body Text"/>
    <w:basedOn w:val="Normal"/>
    <w:link w:val="BodyTextChar"/>
    <w:uiPriority w:val="1"/>
    <w:qFormat/>
    <w:rsid w:val="00C365F4"/>
    <w:pPr>
      <w:widowControl w:val="0"/>
      <w:overflowPunct/>
      <w:adjustRightInd/>
      <w:jc w:val="left"/>
      <w:textAlignment w:val="auto"/>
    </w:pPr>
    <w:rPr>
      <w:rFonts w:eastAsia="Arial" w:cs="Arial"/>
      <w:lang w:val="en-US"/>
    </w:rPr>
  </w:style>
  <w:style w:type="character" w:customStyle="1" w:styleId="BodyTextChar">
    <w:name w:val="Body Text Char"/>
    <w:basedOn w:val="DefaultParagraphFont"/>
    <w:link w:val="BodyText"/>
    <w:uiPriority w:val="1"/>
    <w:rsid w:val="00C365F4"/>
    <w:rPr>
      <w:rFonts w:ascii="Arial" w:eastAsia="Arial" w:hAnsi="Arial" w:cs="Arial"/>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2076624">
      <w:bodyDiv w:val="1"/>
      <w:marLeft w:val="0"/>
      <w:marRight w:val="0"/>
      <w:marTop w:val="0"/>
      <w:marBottom w:val="0"/>
      <w:divBdr>
        <w:top w:val="none" w:sz="0" w:space="0" w:color="auto"/>
        <w:left w:val="none" w:sz="0" w:space="0" w:color="auto"/>
        <w:bottom w:val="none" w:sz="0" w:space="0" w:color="auto"/>
        <w:right w:val="none" w:sz="0" w:space="0" w:color="auto"/>
      </w:divBdr>
    </w:div>
    <w:div w:id="1212570491">
      <w:bodyDiv w:val="1"/>
      <w:marLeft w:val="0"/>
      <w:marRight w:val="0"/>
      <w:marTop w:val="0"/>
      <w:marBottom w:val="0"/>
      <w:divBdr>
        <w:top w:val="none" w:sz="0" w:space="0" w:color="auto"/>
        <w:left w:val="none" w:sz="0" w:space="0" w:color="auto"/>
        <w:bottom w:val="none" w:sz="0" w:space="0" w:color="auto"/>
        <w:right w:val="none" w:sz="0" w:space="0" w:color="auto"/>
      </w:divBdr>
    </w:div>
    <w:div w:id="1262251891">
      <w:bodyDiv w:val="1"/>
      <w:marLeft w:val="0"/>
      <w:marRight w:val="0"/>
      <w:marTop w:val="0"/>
      <w:marBottom w:val="0"/>
      <w:divBdr>
        <w:top w:val="none" w:sz="0" w:space="0" w:color="auto"/>
        <w:left w:val="none" w:sz="0" w:space="0" w:color="auto"/>
        <w:bottom w:val="none" w:sz="0" w:space="0" w:color="auto"/>
        <w:right w:val="none" w:sz="0" w:space="0" w:color="auto"/>
      </w:divBdr>
      <w:divsChild>
        <w:div w:id="223151593">
          <w:marLeft w:val="0"/>
          <w:marRight w:val="0"/>
          <w:marTop w:val="0"/>
          <w:marBottom w:val="0"/>
          <w:divBdr>
            <w:top w:val="none" w:sz="0" w:space="0" w:color="auto"/>
            <w:left w:val="none" w:sz="0" w:space="0" w:color="auto"/>
            <w:bottom w:val="none" w:sz="0" w:space="0" w:color="auto"/>
            <w:right w:val="none" w:sz="0" w:space="0" w:color="auto"/>
          </w:divBdr>
          <w:divsChild>
            <w:div w:id="1580671015">
              <w:marLeft w:val="0"/>
              <w:marRight w:val="0"/>
              <w:marTop w:val="0"/>
              <w:marBottom w:val="0"/>
              <w:divBdr>
                <w:top w:val="none" w:sz="0" w:space="0" w:color="auto"/>
                <w:left w:val="none" w:sz="0" w:space="0" w:color="auto"/>
                <w:bottom w:val="none" w:sz="0" w:space="0" w:color="auto"/>
                <w:right w:val="none" w:sz="0" w:space="0" w:color="auto"/>
              </w:divBdr>
            </w:div>
          </w:divsChild>
        </w:div>
        <w:div w:id="1398476053">
          <w:marLeft w:val="0"/>
          <w:marRight w:val="0"/>
          <w:marTop w:val="0"/>
          <w:marBottom w:val="0"/>
          <w:divBdr>
            <w:top w:val="none" w:sz="0" w:space="0" w:color="auto"/>
            <w:left w:val="none" w:sz="0" w:space="0" w:color="auto"/>
            <w:bottom w:val="none" w:sz="0" w:space="0" w:color="auto"/>
            <w:right w:val="none" w:sz="0" w:space="0" w:color="auto"/>
          </w:divBdr>
          <w:divsChild>
            <w:div w:id="111482513">
              <w:marLeft w:val="0"/>
              <w:marRight w:val="0"/>
              <w:marTop w:val="0"/>
              <w:marBottom w:val="0"/>
              <w:divBdr>
                <w:top w:val="none" w:sz="0" w:space="0" w:color="auto"/>
                <w:left w:val="none" w:sz="0" w:space="0" w:color="auto"/>
                <w:bottom w:val="none" w:sz="0" w:space="0" w:color="auto"/>
                <w:right w:val="none" w:sz="0" w:space="0" w:color="auto"/>
              </w:divBdr>
            </w:div>
            <w:div w:id="1374497395">
              <w:marLeft w:val="0"/>
              <w:marRight w:val="0"/>
              <w:marTop w:val="0"/>
              <w:marBottom w:val="93"/>
              <w:divBdr>
                <w:top w:val="none" w:sz="0" w:space="0" w:color="auto"/>
                <w:left w:val="none" w:sz="0" w:space="0" w:color="auto"/>
                <w:bottom w:val="none" w:sz="0" w:space="0" w:color="auto"/>
                <w:right w:val="none" w:sz="0" w:space="0" w:color="auto"/>
              </w:divBdr>
              <w:divsChild>
                <w:div w:id="172263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816393">
          <w:marLeft w:val="0"/>
          <w:marRight w:val="0"/>
          <w:marTop w:val="0"/>
          <w:marBottom w:val="0"/>
          <w:divBdr>
            <w:top w:val="none" w:sz="0" w:space="0" w:color="auto"/>
            <w:left w:val="none" w:sz="0" w:space="0" w:color="auto"/>
            <w:bottom w:val="none" w:sz="0" w:space="0" w:color="auto"/>
            <w:right w:val="none" w:sz="0" w:space="0" w:color="auto"/>
          </w:divBdr>
        </w:div>
      </w:divsChild>
    </w:div>
    <w:div w:id="1668560952">
      <w:bodyDiv w:val="1"/>
      <w:marLeft w:val="0"/>
      <w:marRight w:val="0"/>
      <w:marTop w:val="0"/>
      <w:marBottom w:val="0"/>
      <w:divBdr>
        <w:top w:val="none" w:sz="0" w:space="0" w:color="auto"/>
        <w:left w:val="none" w:sz="0" w:space="0" w:color="auto"/>
        <w:bottom w:val="none" w:sz="0" w:space="0" w:color="auto"/>
        <w:right w:val="none" w:sz="0" w:space="0" w:color="auto"/>
      </w:divBdr>
      <w:divsChild>
        <w:div w:id="689062926">
          <w:marLeft w:val="0"/>
          <w:marRight w:val="0"/>
          <w:marTop w:val="0"/>
          <w:marBottom w:val="0"/>
          <w:divBdr>
            <w:top w:val="none" w:sz="0" w:space="0" w:color="auto"/>
            <w:left w:val="none" w:sz="0" w:space="0" w:color="auto"/>
            <w:bottom w:val="none" w:sz="0" w:space="0" w:color="auto"/>
            <w:right w:val="none" w:sz="0" w:space="0" w:color="auto"/>
          </w:divBdr>
          <w:divsChild>
            <w:div w:id="92672409">
              <w:marLeft w:val="0"/>
              <w:marRight w:val="0"/>
              <w:marTop w:val="0"/>
              <w:marBottom w:val="0"/>
              <w:divBdr>
                <w:top w:val="none" w:sz="0" w:space="0" w:color="auto"/>
                <w:left w:val="none" w:sz="0" w:space="0" w:color="auto"/>
                <w:bottom w:val="none" w:sz="0" w:space="0" w:color="auto"/>
                <w:right w:val="none" w:sz="0" w:space="0" w:color="auto"/>
              </w:divBdr>
              <w:divsChild>
                <w:div w:id="1436900799">
                  <w:marLeft w:val="0"/>
                  <w:marRight w:val="0"/>
                  <w:marTop w:val="0"/>
                  <w:marBottom w:val="0"/>
                  <w:divBdr>
                    <w:top w:val="none" w:sz="0" w:space="0" w:color="auto"/>
                    <w:left w:val="none" w:sz="0" w:space="0" w:color="auto"/>
                    <w:bottom w:val="none" w:sz="0" w:space="0" w:color="auto"/>
                    <w:right w:val="none" w:sz="0" w:space="0" w:color="auto"/>
                  </w:divBdr>
                  <w:divsChild>
                    <w:div w:id="1061247104">
                      <w:marLeft w:val="0"/>
                      <w:marRight w:val="0"/>
                      <w:marTop w:val="0"/>
                      <w:marBottom w:val="0"/>
                      <w:divBdr>
                        <w:top w:val="none" w:sz="0" w:space="0" w:color="auto"/>
                        <w:left w:val="none" w:sz="0" w:space="0" w:color="auto"/>
                        <w:bottom w:val="none" w:sz="0" w:space="0" w:color="auto"/>
                        <w:right w:val="none" w:sz="0" w:space="0" w:color="auto"/>
                      </w:divBdr>
                      <w:divsChild>
                        <w:div w:id="834883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7121814">
      <w:bodyDiv w:val="1"/>
      <w:marLeft w:val="0"/>
      <w:marRight w:val="0"/>
      <w:marTop w:val="0"/>
      <w:marBottom w:val="0"/>
      <w:divBdr>
        <w:top w:val="none" w:sz="0" w:space="0" w:color="auto"/>
        <w:left w:val="none" w:sz="0" w:space="0" w:color="auto"/>
        <w:bottom w:val="none" w:sz="0" w:space="0" w:color="auto"/>
        <w:right w:val="none" w:sz="0" w:space="0" w:color="auto"/>
      </w:divBdr>
      <w:divsChild>
        <w:div w:id="512382531">
          <w:marLeft w:val="0"/>
          <w:marRight w:val="0"/>
          <w:marTop w:val="0"/>
          <w:marBottom w:val="0"/>
          <w:divBdr>
            <w:top w:val="none" w:sz="0" w:space="0" w:color="auto"/>
            <w:left w:val="none" w:sz="0" w:space="0" w:color="auto"/>
            <w:bottom w:val="none" w:sz="0" w:space="0" w:color="auto"/>
            <w:right w:val="none" w:sz="0" w:space="0" w:color="auto"/>
          </w:divBdr>
          <w:divsChild>
            <w:div w:id="1176506166">
              <w:marLeft w:val="0"/>
              <w:marRight w:val="0"/>
              <w:marTop w:val="0"/>
              <w:marBottom w:val="0"/>
              <w:divBdr>
                <w:top w:val="none" w:sz="0" w:space="0" w:color="auto"/>
                <w:left w:val="none" w:sz="0" w:space="0" w:color="auto"/>
                <w:bottom w:val="none" w:sz="0" w:space="0" w:color="auto"/>
                <w:right w:val="none" w:sz="0" w:space="0" w:color="auto"/>
              </w:divBdr>
              <w:divsChild>
                <w:div w:id="1959800153">
                  <w:marLeft w:val="0"/>
                  <w:marRight w:val="0"/>
                  <w:marTop w:val="0"/>
                  <w:marBottom w:val="0"/>
                  <w:divBdr>
                    <w:top w:val="none" w:sz="0" w:space="0" w:color="auto"/>
                    <w:left w:val="none" w:sz="0" w:space="0" w:color="auto"/>
                    <w:bottom w:val="none" w:sz="0" w:space="0" w:color="auto"/>
                    <w:right w:val="none" w:sz="0" w:space="0" w:color="auto"/>
                  </w:divBdr>
                  <w:divsChild>
                    <w:div w:id="2020038161">
                      <w:marLeft w:val="0"/>
                      <w:marRight w:val="0"/>
                      <w:marTop w:val="0"/>
                      <w:marBottom w:val="0"/>
                      <w:divBdr>
                        <w:top w:val="none" w:sz="0" w:space="0" w:color="auto"/>
                        <w:left w:val="none" w:sz="0" w:space="0" w:color="auto"/>
                        <w:bottom w:val="none" w:sz="0" w:space="0" w:color="auto"/>
                        <w:right w:val="none" w:sz="0" w:space="0" w:color="auto"/>
                      </w:divBdr>
                      <w:divsChild>
                        <w:div w:id="134069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jpeg"/><Relationship Id="rId3" Type="http://schemas.openxmlformats.org/officeDocument/2006/relationships/customXml" Target="../customXml/item3.xml"/><Relationship Id="rId21" Type="http://schemas.openxmlformats.org/officeDocument/2006/relationships/hyperlink" Target="http://www.mileslewis.net/australian-"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hyperlink" Target="https://adb.anu.edu.au/biography/mitchell-david-4209/text6779"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eader" Target="header1.xml"/><Relationship Id="R0530a76fb9e04c81" Type="http://schemas.microsoft.com/office/2019/09/relationships/intelligence" Target="intelligence.xml"/></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4DCA39892727A43AED8685A6B9892AC" ma:contentTypeVersion="16" ma:contentTypeDescription="Create a new document." ma:contentTypeScope="" ma:versionID="06c636b0634562424e492401b505047a">
  <xsd:schema xmlns:xsd="http://www.w3.org/2001/XMLSchema" xmlns:xs="http://www.w3.org/2001/XMLSchema" xmlns:p="http://schemas.microsoft.com/office/2006/metadata/properties" xmlns:ns2="1e38813c-8383-40ac-aac6-c130ac0789ad" xmlns:ns3="7732951b-1e4d-4ca2-ae25-3c4f29afc10d" targetNamespace="http://schemas.microsoft.com/office/2006/metadata/properties" ma:root="true" ma:fieldsID="ded78c2f4aff38b459540f72892d5355" ns2:_="" ns3:_="">
    <xsd:import namespace="1e38813c-8383-40ac-aac6-c130ac0789ad"/>
    <xsd:import namespace="7732951b-1e4d-4ca2-ae25-3c4f29afc10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38813c-8383-40ac-aac6-c130ac0789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489f8bb-ed4d-4602-b98b-499c5278b08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732951b-1e4d-4ca2-ae25-3c4f29afc10d"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56feeaad-4ddb-4bcf-b7b8-2f706658a740}" ma:internalName="TaxCatchAll" ma:showField="CatchAllData" ma:web="7732951b-1e4d-4ca2-ae25-3c4f29afc10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e38813c-8383-40ac-aac6-c130ac0789ad">
      <Terms xmlns="http://schemas.microsoft.com/office/infopath/2007/PartnerControls"/>
    </lcf76f155ced4ddcb4097134ff3c332f>
    <TaxCatchAll xmlns="7732951b-1e4d-4ca2-ae25-3c4f29afc10d"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2337B4-ADEB-41B0-821D-3326BC30E9C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38813c-8383-40ac-aac6-c130ac0789ad"/>
    <ds:schemaRef ds:uri="7732951b-1e4d-4ca2-ae25-3c4f29afc1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EF5EE9A-F0F6-461D-ACE6-59004ABAB799}">
  <ds:schemaRefs>
    <ds:schemaRef ds:uri="http://schemas.microsoft.com/office/2006/metadata/properties"/>
    <ds:schemaRef ds:uri="http://schemas.microsoft.com/office/infopath/2007/PartnerControls"/>
    <ds:schemaRef ds:uri="1e38813c-8383-40ac-aac6-c130ac0789ad"/>
    <ds:schemaRef ds:uri="7732951b-1e4d-4ca2-ae25-3c4f29afc10d"/>
  </ds:schemaRefs>
</ds:datastoreItem>
</file>

<file path=customXml/itemProps3.xml><?xml version="1.0" encoding="utf-8"?>
<ds:datastoreItem xmlns:ds="http://schemas.openxmlformats.org/officeDocument/2006/customXml" ds:itemID="{44C38FEC-EBA4-41B7-B3E6-98D70386AD8C}">
  <ds:schemaRefs>
    <ds:schemaRef ds:uri="http://schemas.microsoft.com/sharepoint/v3/contenttype/forms"/>
  </ds:schemaRefs>
</ds:datastoreItem>
</file>

<file path=customXml/itemProps4.xml><?xml version="1.0" encoding="utf-8"?>
<ds:datastoreItem xmlns:ds="http://schemas.openxmlformats.org/officeDocument/2006/customXml" ds:itemID="{B0AE423E-284F-48F6-9C06-DD8F464B04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Pages>
  <Words>4342</Words>
  <Characters>22883</Characters>
  <Application>Microsoft Office Word</Application>
  <DocSecurity>0</DocSecurity>
  <Lines>532</Lines>
  <Paragraphs>180</Paragraphs>
  <ScaleCrop>false</ScaleCrop>
  <Company>City of Boroondara</Company>
  <LinksUpToDate>false</LinksUpToDate>
  <CharactersWithSpaces>27045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kmcmahon</dc:creator>
  <cp:keywords/>
  <dc:description/>
  <cp:lastModifiedBy>Julie Paget</cp:lastModifiedBy>
  <cp:revision>247</cp:revision>
  <cp:lastPrinted>2017-04-07T00:02:00Z</cp:lastPrinted>
  <dcterms:created xsi:type="dcterms:W3CDTF">2018-06-18T23:54:00Z</dcterms:created>
  <dcterms:modified xsi:type="dcterms:W3CDTF">2022-06-01T03:17:00Z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0x010100A4DCA39892727A43AED8685A6B9892AC</vt:lpwstr>
  </property>
  <property fmtid="{D5CDD505-2E9C-101B-9397-08002B2CF9AE}" pid="3" name="MediaServiceImageTags">
    <vt:lpwstr/>
  </property>
</Properties>
</file>