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xml" ContentType="application/vnd.ms-office.intelligenc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6BBFE9D" w14:textId="0AEE8CFD" w:rsidR="0007515A" w:rsidRPr="00533CF2" w:rsidRDefault="00FA29AD" w:rsidP="001C0A79">
      <w:pPr>
        <w:pStyle w:val="BodyText"/>
        <w:jc w:val="both"/>
      </w:pPr>
      <w:r w:rsidRPr="00533CF2">
        <w:tab/>
      </w:r>
      <w:r w:rsidRPr="00533CF2">
        <w:tab/>
      </w:r>
      <w:r w:rsidRPr="00533CF2">
        <w:tab/>
      </w:r>
      <w:r w:rsidRPr="00533CF2">
        <w:tab/>
      </w:r>
      <w:r w:rsidRPr="00533CF2">
        <w:tab/>
      </w:r>
      <w:r w:rsidRPr="00533CF2">
        <w:tab/>
      </w:r>
      <w:r w:rsidRPr="00533CF2">
        <w:tab/>
        <w:t xml:space="preserve"> </w:t>
      </w:r>
    </w:p>
    <w:tbl>
      <w:tblPr>
        <w:tblW w:w="8613" w:type="dxa"/>
        <w:tblLook w:val="01E0" w:firstRow="1" w:lastRow="1" w:firstColumn="1" w:lastColumn="1" w:noHBand="0" w:noVBand="0"/>
      </w:tblPr>
      <w:tblGrid>
        <w:gridCol w:w="8613"/>
      </w:tblGrid>
      <w:tr w:rsidR="00824D69" w:rsidRPr="00533CF2" w14:paraId="69B64CA2" w14:textId="77777777" w:rsidTr="56C570C5">
        <w:tc>
          <w:tcPr>
            <w:tcW w:w="8613" w:type="dxa"/>
          </w:tcPr>
          <w:p w14:paraId="2523CE83" w14:textId="1E03B0F7" w:rsidR="00824D69" w:rsidRPr="00533CF2" w:rsidRDefault="00112733" w:rsidP="001C0A79">
            <w:pPr>
              <w:pStyle w:val="BodyText"/>
              <w:jc w:val="both"/>
              <w:rPr>
                <w:b/>
              </w:rPr>
            </w:pPr>
            <w:r>
              <w:rPr>
                <w:b/>
              </w:rPr>
              <w:t>Park View</w:t>
            </w:r>
          </w:p>
        </w:tc>
      </w:tr>
      <w:tr w:rsidR="0053253F" w:rsidRPr="00533CF2" w14:paraId="48F0B5C5" w14:textId="77777777" w:rsidTr="56C570C5">
        <w:tc>
          <w:tcPr>
            <w:tcW w:w="8613" w:type="dxa"/>
          </w:tcPr>
          <w:p w14:paraId="11A6C2EA" w14:textId="77777777" w:rsidR="0053253F" w:rsidRPr="00533CF2" w:rsidRDefault="0053253F" w:rsidP="001C0A79">
            <w:pPr>
              <w:pStyle w:val="BodyText"/>
              <w:jc w:val="both"/>
            </w:pPr>
          </w:p>
          <w:p w14:paraId="4590393D" w14:textId="4D1E3229" w:rsidR="0053253F" w:rsidRPr="00533CF2" w:rsidRDefault="0053253F" w:rsidP="001C0A79">
            <w:pPr>
              <w:pStyle w:val="BodyText"/>
              <w:jc w:val="both"/>
            </w:pPr>
            <w:r w:rsidRPr="56C570C5">
              <w:t xml:space="preserve">Prepared by: </w:t>
            </w:r>
            <w:r w:rsidR="007A044E" w:rsidRPr="56C570C5">
              <w:t>Trethowan Architect</w:t>
            </w:r>
            <w:r w:rsidR="00AA2B0C" w:rsidRPr="56C570C5">
              <w:t>ure</w:t>
            </w:r>
          </w:p>
        </w:tc>
      </w:tr>
    </w:tbl>
    <w:p w14:paraId="557A33E3" w14:textId="4661E31E" w:rsidR="00FA29AD" w:rsidRPr="00533CF2" w:rsidRDefault="00FA29AD" w:rsidP="001C0A79">
      <w:pPr>
        <w:pStyle w:val="BodyText"/>
        <w:jc w:val="both"/>
      </w:pPr>
    </w:p>
    <w:tbl>
      <w:tblPr>
        <w:tblW w:w="8613" w:type="dxa"/>
        <w:tblBorders>
          <w:insideH w:val="single" w:sz="4" w:space="0" w:color="auto"/>
          <w:insideV w:val="single" w:sz="4" w:space="0" w:color="auto"/>
        </w:tblBorders>
        <w:tblLook w:val="01E0" w:firstRow="1" w:lastRow="1" w:firstColumn="1" w:lastColumn="1" w:noHBand="0" w:noVBand="0"/>
      </w:tblPr>
      <w:tblGrid>
        <w:gridCol w:w="5495"/>
        <w:gridCol w:w="3118"/>
      </w:tblGrid>
      <w:tr w:rsidR="00F412AE" w:rsidRPr="00533CF2" w14:paraId="51C0521A" w14:textId="77777777" w:rsidTr="00492AB4">
        <w:trPr>
          <w:trHeight w:val="397"/>
        </w:trPr>
        <w:tc>
          <w:tcPr>
            <w:tcW w:w="8613" w:type="dxa"/>
            <w:gridSpan w:val="2"/>
          </w:tcPr>
          <w:p w14:paraId="4C2565D4" w14:textId="0FB4A650" w:rsidR="00F412AE" w:rsidRPr="00E0419F" w:rsidRDefault="00F412AE" w:rsidP="001C0A79">
            <w:pPr>
              <w:pStyle w:val="BodyText"/>
              <w:jc w:val="both"/>
            </w:pPr>
            <w:r w:rsidRPr="00533CF2">
              <w:rPr>
                <w:b/>
              </w:rPr>
              <w:t>Address:</w:t>
            </w:r>
            <w:r w:rsidR="00E0419F">
              <w:rPr>
                <w:b/>
              </w:rPr>
              <w:t xml:space="preserve"> </w:t>
            </w:r>
            <w:r w:rsidR="006815E3" w:rsidRPr="006815E3">
              <w:rPr>
                <w:b/>
              </w:rPr>
              <w:t>25 Brennans Road East, Arthurs Creek</w:t>
            </w:r>
          </w:p>
        </w:tc>
      </w:tr>
      <w:tr w:rsidR="00D00A0D" w:rsidRPr="00533CF2" w14:paraId="25C448F6" w14:textId="77777777" w:rsidTr="00492AB4">
        <w:trPr>
          <w:trHeight w:val="397"/>
        </w:trPr>
        <w:tc>
          <w:tcPr>
            <w:tcW w:w="5495" w:type="dxa"/>
          </w:tcPr>
          <w:p w14:paraId="5A1A9259" w14:textId="2C69B11D" w:rsidR="00D00A0D" w:rsidRPr="00533CF2" w:rsidRDefault="00D00A0D" w:rsidP="001C0A79">
            <w:pPr>
              <w:pStyle w:val="BodyText"/>
              <w:jc w:val="both"/>
              <w:rPr>
                <w:b/>
              </w:rPr>
            </w:pPr>
            <w:r w:rsidRPr="00533CF2">
              <w:rPr>
                <w:b/>
              </w:rPr>
              <w:t>Name</w:t>
            </w:r>
            <w:r w:rsidRPr="006153EF">
              <w:rPr>
                <w:bCs/>
              </w:rPr>
              <w:t xml:space="preserve">: </w:t>
            </w:r>
            <w:r w:rsidR="006815E3" w:rsidRPr="006153EF">
              <w:rPr>
                <w:bCs/>
              </w:rPr>
              <w:t>Park View</w:t>
            </w:r>
          </w:p>
        </w:tc>
        <w:tc>
          <w:tcPr>
            <w:tcW w:w="3118" w:type="dxa"/>
          </w:tcPr>
          <w:p w14:paraId="486D578B" w14:textId="62D30CDE" w:rsidR="00D00A0D" w:rsidRPr="00E0419F" w:rsidRDefault="00D00A0D" w:rsidP="001C0A79">
            <w:pPr>
              <w:pStyle w:val="BodyText"/>
              <w:jc w:val="both"/>
            </w:pPr>
            <w:r w:rsidRPr="00533CF2">
              <w:rPr>
                <w:b/>
              </w:rPr>
              <w:t>Survey Date:</w:t>
            </w:r>
            <w:r w:rsidR="00E0419F">
              <w:rPr>
                <w:b/>
              </w:rPr>
              <w:t xml:space="preserve"> </w:t>
            </w:r>
            <w:r w:rsidR="006815E3" w:rsidRPr="003B2679">
              <w:rPr>
                <w:bCs/>
              </w:rPr>
              <w:t>2015</w:t>
            </w:r>
          </w:p>
        </w:tc>
      </w:tr>
      <w:tr w:rsidR="00D00A0D" w:rsidRPr="00533CF2" w14:paraId="55B24944" w14:textId="77777777" w:rsidTr="00492AB4">
        <w:trPr>
          <w:trHeight w:val="397"/>
        </w:trPr>
        <w:tc>
          <w:tcPr>
            <w:tcW w:w="5495" w:type="dxa"/>
          </w:tcPr>
          <w:p w14:paraId="762FDA8F" w14:textId="356BB988" w:rsidR="00D00A0D" w:rsidRPr="00580661" w:rsidRDefault="00D00A0D" w:rsidP="001C0A79">
            <w:pPr>
              <w:pStyle w:val="BodyText"/>
              <w:jc w:val="both"/>
            </w:pPr>
            <w:r w:rsidRPr="00533CF2">
              <w:rPr>
                <w:b/>
              </w:rPr>
              <w:t xml:space="preserve">Place Type: </w:t>
            </w:r>
            <w:r w:rsidR="006815E3" w:rsidRPr="002A7C10">
              <w:rPr>
                <w:bCs/>
              </w:rPr>
              <w:t xml:space="preserve">Individual </w:t>
            </w:r>
          </w:p>
        </w:tc>
        <w:tc>
          <w:tcPr>
            <w:tcW w:w="3118" w:type="dxa"/>
          </w:tcPr>
          <w:p w14:paraId="24E08DF2" w14:textId="6F339A76" w:rsidR="00D00A0D" w:rsidRPr="00E0419F" w:rsidRDefault="00D00A0D" w:rsidP="001C0A79">
            <w:pPr>
              <w:pStyle w:val="BodyText"/>
              <w:jc w:val="both"/>
            </w:pPr>
            <w:r w:rsidRPr="00533CF2">
              <w:rPr>
                <w:b/>
              </w:rPr>
              <w:t>Architect:</w:t>
            </w:r>
            <w:r w:rsidR="00E0419F">
              <w:rPr>
                <w:b/>
              </w:rPr>
              <w:t xml:space="preserve"> </w:t>
            </w:r>
            <w:r w:rsidR="00BB7115" w:rsidRPr="002A7C10">
              <w:rPr>
                <w:bCs/>
              </w:rPr>
              <w:t xml:space="preserve">Unknown </w:t>
            </w:r>
          </w:p>
        </w:tc>
      </w:tr>
      <w:tr w:rsidR="00D00A0D" w:rsidRPr="00533CF2" w14:paraId="11DA50E0" w14:textId="77777777" w:rsidTr="00492AB4">
        <w:trPr>
          <w:trHeight w:val="397"/>
        </w:trPr>
        <w:tc>
          <w:tcPr>
            <w:tcW w:w="5495" w:type="dxa"/>
          </w:tcPr>
          <w:p w14:paraId="33B19311" w14:textId="79FB0758" w:rsidR="00D00A0D" w:rsidRPr="00580661" w:rsidRDefault="00D00A0D" w:rsidP="001C0A79">
            <w:pPr>
              <w:pStyle w:val="BodyText"/>
              <w:jc w:val="both"/>
            </w:pPr>
            <w:r w:rsidRPr="00533CF2">
              <w:rPr>
                <w:b/>
              </w:rPr>
              <w:t>Grading:</w:t>
            </w:r>
            <w:r w:rsidR="00580661">
              <w:rPr>
                <w:b/>
              </w:rPr>
              <w:t xml:space="preserve"> </w:t>
            </w:r>
            <w:r w:rsidR="006815E3" w:rsidRPr="003B2679">
              <w:rPr>
                <w:bCs/>
              </w:rPr>
              <w:t xml:space="preserve">Significant </w:t>
            </w:r>
          </w:p>
        </w:tc>
        <w:tc>
          <w:tcPr>
            <w:tcW w:w="3118" w:type="dxa"/>
          </w:tcPr>
          <w:p w14:paraId="3E63B317" w14:textId="1BF36B1C" w:rsidR="00D00A0D" w:rsidRPr="00533CF2" w:rsidRDefault="00D00A0D" w:rsidP="001C0A79">
            <w:pPr>
              <w:pStyle w:val="BodyText"/>
              <w:jc w:val="both"/>
              <w:rPr>
                <w:b/>
              </w:rPr>
            </w:pPr>
            <w:r w:rsidRPr="00533CF2">
              <w:rPr>
                <w:b/>
              </w:rPr>
              <w:t>Builder:</w:t>
            </w:r>
            <w:r w:rsidR="00B9734A">
              <w:rPr>
                <w:b/>
              </w:rPr>
              <w:t xml:space="preserve"> </w:t>
            </w:r>
            <w:r w:rsidR="00BB7115" w:rsidRPr="002A7C10">
              <w:rPr>
                <w:bCs/>
              </w:rPr>
              <w:t xml:space="preserve">Unknown </w:t>
            </w:r>
          </w:p>
        </w:tc>
      </w:tr>
      <w:tr w:rsidR="00D00A0D" w:rsidRPr="00533CF2" w14:paraId="44683571" w14:textId="77777777" w:rsidTr="00492AB4">
        <w:trPr>
          <w:trHeight w:val="397"/>
        </w:trPr>
        <w:tc>
          <w:tcPr>
            <w:tcW w:w="5495" w:type="dxa"/>
          </w:tcPr>
          <w:p w14:paraId="7F5D5AD7" w14:textId="2BAB5B59" w:rsidR="00D00A0D" w:rsidRPr="00533CF2" w:rsidRDefault="00D00A0D" w:rsidP="001C0A79">
            <w:pPr>
              <w:pStyle w:val="BodyText"/>
              <w:jc w:val="both"/>
              <w:rPr>
                <w:b/>
              </w:rPr>
            </w:pPr>
            <w:r w:rsidRPr="00533CF2">
              <w:rPr>
                <w:b/>
              </w:rPr>
              <w:t xml:space="preserve">Extent of Overlay: </w:t>
            </w:r>
            <w:r w:rsidR="00BB7115" w:rsidRPr="002A7C10">
              <w:rPr>
                <w:bCs/>
              </w:rPr>
              <w:t>To the title boundary</w:t>
            </w:r>
            <w:r w:rsidR="00BB7115">
              <w:rPr>
                <w:b/>
              </w:rPr>
              <w:t xml:space="preserve"> </w:t>
            </w:r>
          </w:p>
        </w:tc>
        <w:tc>
          <w:tcPr>
            <w:tcW w:w="3118" w:type="dxa"/>
          </w:tcPr>
          <w:p w14:paraId="3B72F686" w14:textId="5F6D1FE9" w:rsidR="00D00A0D" w:rsidRPr="00E0419F" w:rsidRDefault="00D00A0D" w:rsidP="001C0A79">
            <w:pPr>
              <w:pStyle w:val="BodyText"/>
              <w:jc w:val="both"/>
            </w:pPr>
            <w:r w:rsidRPr="00533CF2">
              <w:rPr>
                <w:b/>
              </w:rPr>
              <w:t>Construction Date:</w:t>
            </w:r>
            <w:r w:rsidR="00B9734A">
              <w:rPr>
                <w:b/>
              </w:rPr>
              <w:t xml:space="preserve"> </w:t>
            </w:r>
            <w:r w:rsidR="003B69CC">
              <w:rPr>
                <w:bCs/>
              </w:rPr>
              <w:t>From c</w:t>
            </w:r>
            <w:r w:rsidR="009E55D9" w:rsidRPr="002A7C10">
              <w:rPr>
                <w:bCs/>
              </w:rPr>
              <w:t>18</w:t>
            </w:r>
            <w:r w:rsidR="00417578" w:rsidRPr="002A7C10">
              <w:rPr>
                <w:bCs/>
              </w:rPr>
              <w:t>90</w:t>
            </w:r>
          </w:p>
        </w:tc>
      </w:tr>
    </w:tbl>
    <w:p w14:paraId="0FBA6BFB" w14:textId="3307C274" w:rsidR="00F0333B" w:rsidRPr="00533CF2" w:rsidRDefault="00F0333B" w:rsidP="001C0A79">
      <w:pPr>
        <w:pStyle w:val="BodyText"/>
        <w:jc w:val="both"/>
      </w:pPr>
    </w:p>
    <w:p w14:paraId="41E40C80" w14:textId="4BBBA7D1" w:rsidR="003D39C2" w:rsidRPr="003B2679" w:rsidRDefault="0087358A" w:rsidP="001C0A79">
      <w:pPr>
        <w:pStyle w:val="BodyText"/>
        <w:jc w:val="both"/>
      </w:pPr>
      <w:bookmarkStart w:id="0" w:name="_GoBack"/>
      <w:r>
        <w:rPr>
          <w:noProof/>
          <w:lang w:val="en-AU" w:eastAsia="en-AU"/>
        </w:rPr>
        <w:drawing>
          <wp:anchor distT="0" distB="0" distL="0" distR="0" simplePos="0" relativeHeight="251658240" behindDoc="0" locked="0" layoutInCell="1" allowOverlap="1" wp14:anchorId="783FC6F8" wp14:editId="57AAC317">
            <wp:simplePos x="0" y="0"/>
            <wp:positionH relativeFrom="margin">
              <wp:posOffset>470848</wp:posOffset>
            </wp:positionH>
            <wp:positionV relativeFrom="paragraph">
              <wp:posOffset>164797</wp:posOffset>
            </wp:positionV>
            <wp:extent cx="4748400" cy="2746800"/>
            <wp:effectExtent l="0" t="0" r="0" b="0"/>
            <wp:wrapTopAndBottom/>
            <wp:docPr id="45" name="image24.jpeg" descr="A picture containing grass, outdoor, tre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24.jpeg" descr="A picture containing grass, outdoor, tree, sky&#10;&#10;Description automatically generated"/>
                    <pic:cNvPicPr/>
                  </pic:nvPicPr>
                  <pic:blipFill>
                    <a:blip r:embed="rId11" cstate="print"/>
                    <a:stretch>
                      <a:fillRect/>
                    </a:stretch>
                  </pic:blipFill>
                  <pic:spPr>
                    <a:xfrm>
                      <a:off x="0" y="0"/>
                      <a:ext cx="4748400" cy="2746800"/>
                    </a:xfrm>
                    <a:prstGeom prst="rect">
                      <a:avLst/>
                    </a:prstGeom>
                  </pic:spPr>
                </pic:pic>
              </a:graphicData>
            </a:graphic>
            <wp14:sizeRelH relativeFrom="margin">
              <wp14:pctWidth>0</wp14:pctWidth>
            </wp14:sizeRelH>
            <wp14:sizeRelV relativeFrom="margin">
              <wp14:pctHeight>0</wp14:pctHeight>
            </wp14:sizeRelV>
          </wp:anchor>
        </w:drawing>
      </w:r>
    </w:p>
    <w:bookmarkEnd w:id="0"/>
    <w:p w14:paraId="64C062D7" w14:textId="77777777" w:rsidR="003D39C2" w:rsidRPr="003D39C2" w:rsidRDefault="003D39C2" w:rsidP="001C0A79">
      <w:pPr>
        <w:pStyle w:val="BodyText"/>
        <w:jc w:val="both"/>
        <w:rPr>
          <w:sz w:val="18"/>
          <w:szCs w:val="18"/>
        </w:rPr>
      </w:pPr>
    </w:p>
    <w:p w14:paraId="439CB1DD" w14:textId="77777777" w:rsidR="00014192" w:rsidRPr="00533CF2" w:rsidRDefault="00014192" w:rsidP="001C0A79">
      <w:pPr>
        <w:pStyle w:val="BodyText"/>
        <w:jc w:val="both"/>
        <w:rPr>
          <w:b/>
        </w:rPr>
      </w:pPr>
      <w:r w:rsidRPr="00533CF2">
        <w:rPr>
          <w:b/>
        </w:rPr>
        <w:t>Historical Context</w:t>
      </w:r>
    </w:p>
    <w:p w14:paraId="6D604A5E" w14:textId="77777777" w:rsidR="00E0419F" w:rsidRDefault="00E0419F" w:rsidP="001C0A79">
      <w:pPr>
        <w:pStyle w:val="BodyText"/>
        <w:jc w:val="both"/>
        <w:rPr>
          <w:b/>
        </w:rPr>
      </w:pPr>
    </w:p>
    <w:p w14:paraId="3F5D3CD4" w14:textId="3255D580" w:rsidR="001464A4" w:rsidRPr="005A761E" w:rsidRDefault="001464A4" w:rsidP="001464A4">
      <w:pPr>
        <w:pStyle w:val="xmsonormal"/>
        <w:autoSpaceDE w:val="0"/>
        <w:autoSpaceDN w:val="0"/>
        <w:spacing w:line="179" w:lineRule="atLeast"/>
        <w:jc w:val="both"/>
        <w:rPr>
          <w:rFonts w:ascii="Arial" w:hAnsi="Arial" w:cs="Arial"/>
          <w:sz w:val="21"/>
          <w:szCs w:val="21"/>
          <w:lang w:val="en-US"/>
        </w:rPr>
      </w:pPr>
      <w:r w:rsidRPr="005A761E">
        <w:rPr>
          <w:rFonts w:ascii="Arial" w:hAnsi="Arial" w:cs="Arial"/>
          <w:sz w:val="21"/>
          <w:szCs w:val="21"/>
          <w:lang w:val="en-US"/>
        </w:rPr>
        <w:t>The</w:t>
      </w:r>
      <w:r w:rsidRPr="005A761E">
        <w:rPr>
          <w:rFonts w:ascii="Arial" w:hAnsi="Arial" w:cs="Arial"/>
          <w:spacing w:val="-2"/>
          <w:sz w:val="21"/>
          <w:szCs w:val="21"/>
          <w:lang w:val="en-US"/>
        </w:rPr>
        <w:t xml:space="preserve"> </w:t>
      </w:r>
      <w:r w:rsidRPr="005A761E">
        <w:rPr>
          <w:rFonts w:ascii="Arial" w:hAnsi="Arial" w:cs="Arial"/>
          <w:sz w:val="21"/>
          <w:szCs w:val="21"/>
          <w:lang w:val="en-US"/>
        </w:rPr>
        <w:t>first</w:t>
      </w:r>
      <w:r w:rsidRPr="005A761E">
        <w:rPr>
          <w:rFonts w:ascii="Arial" w:hAnsi="Arial" w:cs="Arial"/>
          <w:spacing w:val="-2"/>
          <w:sz w:val="21"/>
          <w:szCs w:val="21"/>
          <w:lang w:val="en-US"/>
        </w:rPr>
        <w:t xml:space="preserve"> </w:t>
      </w:r>
      <w:r w:rsidRPr="005A761E">
        <w:rPr>
          <w:rFonts w:ascii="Arial" w:hAnsi="Arial" w:cs="Arial"/>
          <w:sz w:val="21"/>
          <w:szCs w:val="21"/>
          <w:lang w:val="en-US"/>
        </w:rPr>
        <w:t>squatters</w:t>
      </w:r>
      <w:r w:rsidRPr="005A761E">
        <w:rPr>
          <w:rFonts w:ascii="Arial" w:hAnsi="Arial" w:cs="Arial"/>
          <w:spacing w:val="-2"/>
          <w:sz w:val="21"/>
          <w:szCs w:val="21"/>
          <w:lang w:val="en-US"/>
        </w:rPr>
        <w:t xml:space="preserve"> </w:t>
      </w:r>
      <w:r w:rsidRPr="005A761E">
        <w:rPr>
          <w:rFonts w:ascii="Arial" w:hAnsi="Arial" w:cs="Arial"/>
          <w:sz w:val="21"/>
          <w:szCs w:val="21"/>
          <w:lang w:val="en-US"/>
        </w:rPr>
        <w:t>arrived</w:t>
      </w:r>
      <w:r w:rsidRPr="005A761E">
        <w:rPr>
          <w:rFonts w:ascii="Arial" w:hAnsi="Arial" w:cs="Arial"/>
          <w:spacing w:val="-1"/>
          <w:sz w:val="21"/>
          <w:szCs w:val="21"/>
          <w:lang w:val="en-US"/>
        </w:rPr>
        <w:t xml:space="preserve"> </w:t>
      </w:r>
      <w:r w:rsidRPr="005A761E">
        <w:rPr>
          <w:rFonts w:ascii="Arial" w:hAnsi="Arial" w:cs="Arial"/>
          <w:sz w:val="21"/>
          <w:szCs w:val="21"/>
          <w:lang w:val="en-US"/>
        </w:rPr>
        <w:t>in</w:t>
      </w:r>
      <w:r w:rsidRPr="005A761E">
        <w:rPr>
          <w:rFonts w:ascii="Arial" w:hAnsi="Arial" w:cs="Arial"/>
          <w:spacing w:val="-1"/>
          <w:sz w:val="21"/>
          <w:szCs w:val="21"/>
          <w:lang w:val="en-US"/>
        </w:rPr>
        <w:t xml:space="preserve"> </w:t>
      </w:r>
      <w:r w:rsidRPr="005A761E">
        <w:rPr>
          <w:rFonts w:ascii="Arial" w:hAnsi="Arial" w:cs="Arial"/>
          <w:sz w:val="21"/>
          <w:szCs w:val="21"/>
          <w:lang w:val="en-US"/>
        </w:rPr>
        <w:t>the</w:t>
      </w:r>
      <w:r w:rsidRPr="005A761E">
        <w:rPr>
          <w:rFonts w:ascii="Arial" w:hAnsi="Arial" w:cs="Arial"/>
          <w:spacing w:val="-2"/>
          <w:sz w:val="21"/>
          <w:szCs w:val="21"/>
          <w:lang w:val="en-US"/>
        </w:rPr>
        <w:t xml:space="preserve"> </w:t>
      </w:r>
      <w:r w:rsidRPr="005A761E">
        <w:rPr>
          <w:rFonts w:ascii="Arial" w:hAnsi="Arial" w:cs="Arial"/>
          <w:sz w:val="21"/>
          <w:szCs w:val="21"/>
          <w:lang w:val="en-US"/>
        </w:rPr>
        <w:t>Arthurs</w:t>
      </w:r>
      <w:r w:rsidRPr="005A761E">
        <w:rPr>
          <w:rFonts w:ascii="Arial" w:hAnsi="Arial" w:cs="Arial"/>
          <w:spacing w:val="-1"/>
          <w:sz w:val="21"/>
          <w:szCs w:val="21"/>
          <w:lang w:val="en-US"/>
        </w:rPr>
        <w:t xml:space="preserve"> </w:t>
      </w:r>
      <w:r w:rsidRPr="005A761E">
        <w:rPr>
          <w:rFonts w:ascii="Arial" w:hAnsi="Arial" w:cs="Arial"/>
          <w:sz w:val="21"/>
          <w:szCs w:val="21"/>
          <w:lang w:val="en-US"/>
        </w:rPr>
        <w:t>Creek</w:t>
      </w:r>
      <w:r w:rsidRPr="005A761E">
        <w:rPr>
          <w:rFonts w:ascii="Arial" w:hAnsi="Arial" w:cs="Arial"/>
          <w:spacing w:val="-1"/>
          <w:sz w:val="21"/>
          <w:szCs w:val="21"/>
          <w:lang w:val="en-US"/>
        </w:rPr>
        <w:t xml:space="preserve"> </w:t>
      </w:r>
      <w:r w:rsidRPr="005A761E">
        <w:rPr>
          <w:rFonts w:ascii="Arial" w:hAnsi="Arial" w:cs="Arial"/>
          <w:sz w:val="21"/>
          <w:szCs w:val="21"/>
          <w:lang w:val="en-US"/>
        </w:rPr>
        <w:t>area</w:t>
      </w:r>
      <w:r w:rsidRPr="005A761E">
        <w:rPr>
          <w:rFonts w:ascii="Arial" w:hAnsi="Arial" w:cs="Arial"/>
          <w:spacing w:val="-2"/>
          <w:sz w:val="21"/>
          <w:szCs w:val="21"/>
          <w:lang w:val="en-US"/>
        </w:rPr>
        <w:t xml:space="preserve"> </w:t>
      </w:r>
      <w:r w:rsidRPr="005A761E">
        <w:rPr>
          <w:rFonts w:ascii="Arial" w:hAnsi="Arial" w:cs="Arial"/>
          <w:sz w:val="21"/>
          <w:szCs w:val="21"/>
          <w:lang w:val="en-US"/>
        </w:rPr>
        <w:t>in</w:t>
      </w:r>
      <w:r w:rsidRPr="005A761E">
        <w:rPr>
          <w:rFonts w:ascii="Arial" w:hAnsi="Arial" w:cs="Arial"/>
          <w:spacing w:val="-1"/>
          <w:sz w:val="21"/>
          <w:szCs w:val="21"/>
          <w:lang w:val="en-US"/>
        </w:rPr>
        <w:t xml:space="preserve"> </w:t>
      </w:r>
      <w:r w:rsidRPr="005A761E">
        <w:rPr>
          <w:rFonts w:ascii="Arial" w:hAnsi="Arial" w:cs="Arial"/>
          <w:sz w:val="21"/>
          <w:szCs w:val="21"/>
          <w:lang w:val="en-US"/>
        </w:rPr>
        <w:t>1837.</w:t>
      </w:r>
      <w:r w:rsidRPr="005A761E">
        <w:rPr>
          <w:rFonts w:ascii="Arial" w:hAnsi="Arial" w:cs="Arial"/>
          <w:spacing w:val="-3"/>
          <w:sz w:val="21"/>
          <w:szCs w:val="21"/>
          <w:lang w:val="en-US"/>
        </w:rPr>
        <w:t xml:space="preserve"> </w:t>
      </w:r>
      <w:r w:rsidRPr="005A761E">
        <w:rPr>
          <w:rFonts w:ascii="Arial" w:hAnsi="Arial" w:cs="Arial"/>
          <w:sz w:val="21"/>
          <w:szCs w:val="21"/>
          <w:lang w:val="en-US"/>
        </w:rPr>
        <w:t>The</w:t>
      </w:r>
      <w:r w:rsidRPr="005A761E">
        <w:rPr>
          <w:rFonts w:ascii="Arial" w:hAnsi="Arial" w:cs="Arial"/>
          <w:spacing w:val="-1"/>
          <w:sz w:val="21"/>
          <w:szCs w:val="21"/>
          <w:lang w:val="en-US"/>
        </w:rPr>
        <w:t xml:space="preserve"> </w:t>
      </w:r>
      <w:r w:rsidRPr="005A761E">
        <w:rPr>
          <w:rFonts w:ascii="Arial" w:hAnsi="Arial" w:cs="Arial"/>
          <w:sz w:val="21"/>
          <w:szCs w:val="21"/>
          <w:lang w:val="en-US"/>
        </w:rPr>
        <w:t>Reid’s</w:t>
      </w:r>
      <w:r w:rsidRPr="005A761E">
        <w:rPr>
          <w:rFonts w:ascii="Arial" w:hAnsi="Arial" w:cs="Arial"/>
          <w:spacing w:val="-1"/>
          <w:sz w:val="21"/>
          <w:szCs w:val="21"/>
          <w:lang w:val="en-US"/>
        </w:rPr>
        <w:t xml:space="preserve"> </w:t>
      </w:r>
      <w:r w:rsidRPr="005A761E">
        <w:rPr>
          <w:rFonts w:ascii="Arial" w:hAnsi="Arial" w:cs="Arial"/>
          <w:sz w:val="21"/>
          <w:szCs w:val="21"/>
          <w:lang w:val="en-US"/>
        </w:rPr>
        <w:t>run</w:t>
      </w:r>
      <w:r w:rsidRPr="005A761E">
        <w:rPr>
          <w:rFonts w:ascii="Arial" w:hAnsi="Arial" w:cs="Arial"/>
          <w:spacing w:val="-2"/>
          <w:sz w:val="21"/>
          <w:szCs w:val="21"/>
          <w:lang w:val="en-US"/>
        </w:rPr>
        <w:t xml:space="preserve"> </w:t>
      </w:r>
      <w:r w:rsidRPr="005A761E">
        <w:rPr>
          <w:rFonts w:ascii="Arial" w:hAnsi="Arial" w:cs="Arial"/>
          <w:sz w:val="21"/>
          <w:szCs w:val="21"/>
          <w:lang w:val="en-US"/>
        </w:rPr>
        <w:t>‘Hazel</w:t>
      </w:r>
      <w:r w:rsidRPr="005A761E">
        <w:rPr>
          <w:rFonts w:ascii="Arial" w:hAnsi="Arial" w:cs="Arial"/>
          <w:spacing w:val="-2"/>
          <w:sz w:val="21"/>
          <w:szCs w:val="21"/>
          <w:lang w:val="en-US"/>
        </w:rPr>
        <w:t xml:space="preserve"> </w:t>
      </w:r>
      <w:r w:rsidRPr="005A761E">
        <w:rPr>
          <w:rFonts w:ascii="Arial" w:hAnsi="Arial" w:cs="Arial"/>
          <w:sz w:val="21"/>
          <w:szCs w:val="21"/>
          <w:lang w:val="en-US"/>
        </w:rPr>
        <w:t>Glen’, where the original stone and mud house survives, lay on the southwest. The Bears’ ‘New</w:t>
      </w:r>
      <w:r w:rsidRPr="005A761E">
        <w:rPr>
          <w:rFonts w:ascii="Arial" w:hAnsi="Arial" w:cs="Arial"/>
          <w:spacing w:val="1"/>
          <w:sz w:val="21"/>
          <w:szCs w:val="21"/>
          <w:lang w:val="en-US"/>
        </w:rPr>
        <w:t xml:space="preserve"> </w:t>
      </w:r>
      <w:r w:rsidRPr="005A761E">
        <w:rPr>
          <w:rFonts w:ascii="Arial" w:hAnsi="Arial" w:cs="Arial"/>
          <w:sz w:val="21"/>
          <w:szCs w:val="21"/>
          <w:lang w:val="en-US"/>
        </w:rPr>
        <w:t>Leicester’ lay on the northwest, the Macfarlane’s ‘Ard Chattan’ lay between Running Creek</w:t>
      </w:r>
      <w:r w:rsidRPr="005A761E">
        <w:rPr>
          <w:rFonts w:ascii="Arial" w:hAnsi="Arial" w:cs="Arial"/>
          <w:spacing w:val="1"/>
          <w:sz w:val="21"/>
          <w:szCs w:val="21"/>
          <w:lang w:val="en-US"/>
        </w:rPr>
        <w:t xml:space="preserve"> </w:t>
      </w:r>
      <w:r w:rsidRPr="005A761E">
        <w:rPr>
          <w:rFonts w:ascii="Arial" w:hAnsi="Arial" w:cs="Arial"/>
          <w:sz w:val="21"/>
          <w:szCs w:val="21"/>
          <w:lang w:val="en-US"/>
        </w:rPr>
        <w:t>and Arthurs Creek, and the Smiths ‘Glen Ard’ lay to the west of Running Creek (Hicks 1988:6). Most of the land west of the Plenty River was sold by the mid-1840s. The land to the east,</w:t>
      </w:r>
      <w:r w:rsidRPr="005A761E">
        <w:rPr>
          <w:rFonts w:ascii="Arial" w:hAnsi="Arial" w:cs="Arial"/>
          <w:spacing w:val="1"/>
          <w:sz w:val="21"/>
          <w:szCs w:val="21"/>
          <w:lang w:val="en-US"/>
        </w:rPr>
        <w:t xml:space="preserve"> </w:t>
      </w:r>
      <w:r w:rsidRPr="005A761E">
        <w:rPr>
          <w:rFonts w:ascii="Arial" w:hAnsi="Arial" w:cs="Arial"/>
          <w:sz w:val="21"/>
          <w:szCs w:val="21"/>
          <w:lang w:val="en-US"/>
        </w:rPr>
        <w:t xml:space="preserve">including the Arthurs Creek area, which was forested and hilly with poor sedimentary soils, </w:t>
      </w:r>
      <w:r w:rsidR="00B61FFA" w:rsidRPr="005A761E">
        <w:rPr>
          <w:rFonts w:ascii="Arial" w:hAnsi="Arial" w:cs="Arial"/>
          <w:sz w:val="21"/>
          <w:szCs w:val="21"/>
          <w:lang w:val="en-US"/>
        </w:rPr>
        <w:t>was</w:t>
      </w:r>
      <w:r w:rsidRPr="005A761E">
        <w:rPr>
          <w:rFonts w:ascii="Arial" w:hAnsi="Arial" w:cs="Arial"/>
          <w:spacing w:val="-2"/>
          <w:sz w:val="21"/>
          <w:szCs w:val="21"/>
          <w:lang w:val="en-US"/>
        </w:rPr>
        <w:t xml:space="preserve"> </w:t>
      </w:r>
      <w:r w:rsidRPr="005A761E">
        <w:rPr>
          <w:rFonts w:ascii="Arial" w:hAnsi="Arial" w:cs="Arial"/>
          <w:sz w:val="21"/>
          <w:szCs w:val="21"/>
          <w:lang w:val="en-US"/>
        </w:rPr>
        <w:t>‘cattle</w:t>
      </w:r>
      <w:r w:rsidRPr="005A761E">
        <w:rPr>
          <w:rFonts w:ascii="Arial" w:hAnsi="Arial" w:cs="Arial"/>
          <w:spacing w:val="-1"/>
          <w:sz w:val="21"/>
          <w:szCs w:val="21"/>
          <w:lang w:val="en-US"/>
        </w:rPr>
        <w:t xml:space="preserve"> </w:t>
      </w:r>
      <w:r w:rsidRPr="005A761E">
        <w:rPr>
          <w:rFonts w:ascii="Arial" w:hAnsi="Arial" w:cs="Arial"/>
          <w:sz w:val="21"/>
          <w:szCs w:val="21"/>
          <w:lang w:val="en-US"/>
        </w:rPr>
        <w:t>country’</w:t>
      </w:r>
      <w:r w:rsidRPr="005A761E">
        <w:rPr>
          <w:rFonts w:ascii="Arial" w:hAnsi="Arial" w:cs="Arial"/>
          <w:spacing w:val="-2"/>
          <w:sz w:val="21"/>
          <w:szCs w:val="21"/>
          <w:lang w:val="en-US"/>
        </w:rPr>
        <w:t xml:space="preserve"> </w:t>
      </w:r>
      <w:r w:rsidRPr="005A761E">
        <w:rPr>
          <w:rFonts w:ascii="Arial" w:hAnsi="Arial" w:cs="Arial"/>
          <w:sz w:val="21"/>
          <w:szCs w:val="21"/>
          <w:lang w:val="en-US"/>
        </w:rPr>
        <w:t>and</w:t>
      </w:r>
      <w:r w:rsidRPr="005A761E">
        <w:rPr>
          <w:rFonts w:ascii="Arial" w:hAnsi="Arial" w:cs="Arial"/>
          <w:spacing w:val="-1"/>
          <w:sz w:val="21"/>
          <w:szCs w:val="21"/>
          <w:lang w:val="en-US"/>
        </w:rPr>
        <w:t xml:space="preserve"> </w:t>
      </w:r>
      <w:r w:rsidRPr="005A761E">
        <w:rPr>
          <w:rFonts w:ascii="Arial" w:hAnsi="Arial" w:cs="Arial"/>
          <w:sz w:val="21"/>
          <w:szCs w:val="21"/>
          <w:lang w:val="en-US"/>
        </w:rPr>
        <w:t>remained</w:t>
      </w:r>
      <w:r w:rsidRPr="005A761E">
        <w:rPr>
          <w:rFonts w:ascii="Arial" w:hAnsi="Arial" w:cs="Arial"/>
          <w:spacing w:val="-1"/>
          <w:sz w:val="21"/>
          <w:szCs w:val="21"/>
          <w:lang w:val="en-US"/>
        </w:rPr>
        <w:t xml:space="preserve"> </w:t>
      </w:r>
      <w:r w:rsidRPr="005A761E">
        <w:rPr>
          <w:rFonts w:ascii="Arial" w:hAnsi="Arial" w:cs="Arial"/>
          <w:sz w:val="21"/>
          <w:szCs w:val="21"/>
          <w:lang w:val="en-US"/>
        </w:rPr>
        <w:t>under</w:t>
      </w:r>
      <w:r w:rsidRPr="005A761E">
        <w:rPr>
          <w:rFonts w:ascii="Arial" w:hAnsi="Arial" w:cs="Arial"/>
          <w:spacing w:val="-2"/>
          <w:sz w:val="21"/>
          <w:szCs w:val="21"/>
          <w:lang w:val="en-US"/>
        </w:rPr>
        <w:t xml:space="preserve"> </w:t>
      </w:r>
      <w:r w:rsidRPr="005A761E">
        <w:rPr>
          <w:rFonts w:ascii="Arial" w:hAnsi="Arial" w:cs="Arial"/>
          <w:sz w:val="21"/>
          <w:szCs w:val="21"/>
          <w:lang w:val="en-US"/>
        </w:rPr>
        <w:t>grazing</w:t>
      </w:r>
      <w:r w:rsidRPr="005A761E">
        <w:rPr>
          <w:rFonts w:ascii="Arial" w:hAnsi="Arial" w:cs="Arial"/>
          <w:spacing w:val="-2"/>
          <w:sz w:val="21"/>
          <w:szCs w:val="21"/>
          <w:lang w:val="en-US"/>
        </w:rPr>
        <w:t xml:space="preserve"> </w:t>
      </w:r>
      <w:r w:rsidRPr="005A761E">
        <w:rPr>
          <w:rFonts w:ascii="Arial" w:hAnsi="Arial" w:cs="Arial"/>
          <w:sz w:val="21"/>
          <w:szCs w:val="21"/>
          <w:lang w:val="en-US"/>
        </w:rPr>
        <w:t>leases</w:t>
      </w:r>
      <w:r w:rsidRPr="005A761E">
        <w:rPr>
          <w:rFonts w:ascii="Arial" w:hAnsi="Arial" w:cs="Arial"/>
          <w:spacing w:val="-1"/>
          <w:sz w:val="21"/>
          <w:szCs w:val="21"/>
          <w:lang w:val="en-US"/>
        </w:rPr>
        <w:t xml:space="preserve"> </w:t>
      </w:r>
      <w:r w:rsidRPr="005A761E">
        <w:rPr>
          <w:rFonts w:ascii="Arial" w:hAnsi="Arial" w:cs="Arial"/>
          <w:sz w:val="21"/>
          <w:szCs w:val="21"/>
          <w:lang w:val="en-US"/>
        </w:rPr>
        <w:t>for</w:t>
      </w:r>
      <w:r w:rsidRPr="005A761E">
        <w:rPr>
          <w:rFonts w:ascii="Arial" w:hAnsi="Arial" w:cs="Arial"/>
          <w:spacing w:val="-2"/>
          <w:sz w:val="21"/>
          <w:szCs w:val="21"/>
          <w:lang w:val="en-US"/>
        </w:rPr>
        <w:t xml:space="preserve"> </w:t>
      </w:r>
      <w:r w:rsidRPr="005A761E">
        <w:rPr>
          <w:rFonts w:ascii="Arial" w:hAnsi="Arial" w:cs="Arial"/>
          <w:sz w:val="21"/>
          <w:szCs w:val="21"/>
          <w:lang w:val="en-US"/>
        </w:rPr>
        <w:t>longer</w:t>
      </w:r>
      <w:r w:rsidRPr="005A761E">
        <w:rPr>
          <w:rFonts w:ascii="Arial" w:hAnsi="Arial" w:cs="Arial"/>
          <w:spacing w:val="-1"/>
          <w:sz w:val="21"/>
          <w:szCs w:val="21"/>
          <w:lang w:val="en-US"/>
        </w:rPr>
        <w:t xml:space="preserve"> </w:t>
      </w:r>
      <w:r w:rsidRPr="005A761E">
        <w:rPr>
          <w:rFonts w:ascii="Arial" w:hAnsi="Arial" w:cs="Arial"/>
          <w:sz w:val="21"/>
          <w:szCs w:val="21"/>
          <w:lang w:val="en-US"/>
        </w:rPr>
        <w:t>(Hicks</w:t>
      </w:r>
      <w:r w:rsidRPr="005A761E">
        <w:rPr>
          <w:rFonts w:ascii="Arial" w:hAnsi="Arial" w:cs="Arial"/>
          <w:spacing w:val="-1"/>
          <w:sz w:val="21"/>
          <w:szCs w:val="21"/>
          <w:lang w:val="en-US"/>
        </w:rPr>
        <w:t xml:space="preserve"> </w:t>
      </w:r>
      <w:r w:rsidRPr="005A761E">
        <w:rPr>
          <w:rFonts w:ascii="Arial" w:hAnsi="Arial" w:cs="Arial"/>
          <w:sz w:val="21"/>
          <w:szCs w:val="21"/>
          <w:lang w:val="en-US"/>
        </w:rPr>
        <w:t>1988:13).</w:t>
      </w:r>
    </w:p>
    <w:p w14:paraId="76F35B91" w14:textId="77777777" w:rsidR="001464A4" w:rsidRPr="005A761E" w:rsidRDefault="001464A4" w:rsidP="001464A4">
      <w:pPr>
        <w:pStyle w:val="xmsonormal"/>
        <w:autoSpaceDE w:val="0"/>
        <w:autoSpaceDN w:val="0"/>
        <w:spacing w:before="130" w:line="252" w:lineRule="auto"/>
        <w:jc w:val="both"/>
        <w:rPr>
          <w:rFonts w:ascii="Arial" w:hAnsi="Arial" w:cs="Arial"/>
          <w:sz w:val="21"/>
          <w:szCs w:val="21"/>
          <w:lang w:val="en-US"/>
        </w:rPr>
      </w:pPr>
      <w:r w:rsidRPr="005A761E">
        <w:rPr>
          <w:rFonts w:ascii="Arial" w:hAnsi="Arial" w:cs="Arial"/>
          <w:sz w:val="21"/>
          <w:szCs w:val="21"/>
          <w:lang w:val="en-US"/>
        </w:rPr>
        <w:t>The more open undulating country between the Yan Yean Reservoir and Arthurs Creek/Deep</w:t>
      </w:r>
      <w:r w:rsidRPr="005A761E">
        <w:rPr>
          <w:rFonts w:ascii="Arial" w:hAnsi="Arial" w:cs="Arial"/>
          <w:spacing w:val="-53"/>
          <w:sz w:val="21"/>
          <w:szCs w:val="21"/>
          <w:lang w:val="en-US"/>
        </w:rPr>
        <w:t xml:space="preserve"> </w:t>
      </w:r>
      <w:r w:rsidRPr="005A761E">
        <w:rPr>
          <w:rFonts w:ascii="Arial" w:hAnsi="Arial" w:cs="Arial"/>
          <w:sz w:val="21"/>
          <w:szCs w:val="21"/>
          <w:lang w:val="en-US"/>
        </w:rPr>
        <w:t>Creek</w:t>
      </w:r>
      <w:r w:rsidRPr="005A761E">
        <w:rPr>
          <w:rFonts w:ascii="Arial" w:hAnsi="Arial" w:cs="Arial"/>
          <w:spacing w:val="1"/>
          <w:sz w:val="21"/>
          <w:szCs w:val="21"/>
          <w:lang w:val="en-US"/>
        </w:rPr>
        <w:t xml:space="preserve"> </w:t>
      </w:r>
      <w:r w:rsidRPr="005A761E">
        <w:rPr>
          <w:rFonts w:ascii="Arial" w:hAnsi="Arial" w:cs="Arial"/>
          <w:sz w:val="21"/>
          <w:szCs w:val="21"/>
          <w:lang w:val="en-US"/>
        </w:rPr>
        <w:t>was</w:t>
      </w:r>
      <w:r w:rsidRPr="005A761E">
        <w:rPr>
          <w:rFonts w:ascii="Arial" w:hAnsi="Arial" w:cs="Arial"/>
          <w:spacing w:val="1"/>
          <w:sz w:val="21"/>
          <w:szCs w:val="21"/>
          <w:lang w:val="en-US"/>
        </w:rPr>
        <w:t xml:space="preserve"> </w:t>
      </w:r>
      <w:r w:rsidRPr="005A761E">
        <w:rPr>
          <w:rFonts w:ascii="Arial" w:hAnsi="Arial" w:cs="Arial"/>
          <w:sz w:val="21"/>
          <w:szCs w:val="21"/>
          <w:lang w:val="en-US"/>
        </w:rPr>
        <w:t>bought at Crown</w:t>
      </w:r>
      <w:r w:rsidRPr="005A761E">
        <w:rPr>
          <w:rFonts w:ascii="Arial" w:hAnsi="Arial" w:cs="Arial"/>
          <w:spacing w:val="1"/>
          <w:sz w:val="21"/>
          <w:szCs w:val="21"/>
          <w:lang w:val="en-US"/>
        </w:rPr>
        <w:t xml:space="preserve"> </w:t>
      </w:r>
      <w:r w:rsidRPr="005A761E">
        <w:rPr>
          <w:rFonts w:ascii="Arial" w:hAnsi="Arial" w:cs="Arial"/>
          <w:sz w:val="21"/>
          <w:szCs w:val="21"/>
          <w:lang w:val="en-US"/>
        </w:rPr>
        <w:t>Land</w:t>
      </w:r>
      <w:r w:rsidRPr="005A761E">
        <w:rPr>
          <w:rFonts w:ascii="Arial" w:hAnsi="Arial" w:cs="Arial"/>
          <w:spacing w:val="1"/>
          <w:sz w:val="21"/>
          <w:szCs w:val="21"/>
          <w:lang w:val="en-US"/>
        </w:rPr>
        <w:t xml:space="preserve"> </w:t>
      </w:r>
      <w:r w:rsidRPr="005A761E">
        <w:rPr>
          <w:rFonts w:ascii="Arial" w:hAnsi="Arial" w:cs="Arial"/>
          <w:sz w:val="21"/>
          <w:szCs w:val="21"/>
          <w:lang w:val="en-US"/>
        </w:rPr>
        <w:t>sales</w:t>
      </w:r>
      <w:r w:rsidRPr="005A761E">
        <w:rPr>
          <w:rFonts w:ascii="Arial" w:hAnsi="Arial" w:cs="Arial"/>
          <w:spacing w:val="1"/>
          <w:sz w:val="21"/>
          <w:szCs w:val="21"/>
          <w:lang w:val="en-US"/>
        </w:rPr>
        <w:t xml:space="preserve"> </w:t>
      </w:r>
      <w:r w:rsidRPr="005A761E">
        <w:rPr>
          <w:rFonts w:ascii="Arial" w:hAnsi="Arial" w:cs="Arial"/>
          <w:sz w:val="21"/>
          <w:szCs w:val="21"/>
          <w:lang w:val="en-US"/>
        </w:rPr>
        <w:t>in</w:t>
      </w:r>
      <w:r w:rsidRPr="005A761E">
        <w:rPr>
          <w:rFonts w:ascii="Arial" w:hAnsi="Arial" w:cs="Arial"/>
          <w:spacing w:val="1"/>
          <w:sz w:val="21"/>
          <w:szCs w:val="21"/>
          <w:lang w:val="en-US"/>
        </w:rPr>
        <w:t xml:space="preserve"> </w:t>
      </w:r>
      <w:r w:rsidRPr="005A761E">
        <w:rPr>
          <w:rFonts w:ascii="Arial" w:hAnsi="Arial" w:cs="Arial"/>
          <w:sz w:val="21"/>
          <w:szCs w:val="21"/>
          <w:lang w:val="en-US"/>
        </w:rPr>
        <w:t>the</w:t>
      </w:r>
      <w:r w:rsidRPr="005A761E">
        <w:rPr>
          <w:rFonts w:ascii="Arial" w:hAnsi="Arial" w:cs="Arial"/>
          <w:spacing w:val="1"/>
          <w:sz w:val="21"/>
          <w:szCs w:val="21"/>
          <w:lang w:val="en-US"/>
        </w:rPr>
        <w:t xml:space="preserve"> </w:t>
      </w:r>
      <w:r w:rsidRPr="005A761E">
        <w:rPr>
          <w:rFonts w:ascii="Arial" w:hAnsi="Arial" w:cs="Arial"/>
          <w:sz w:val="21"/>
          <w:szCs w:val="21"/>
          <w:lang w:val="en-US"/>
        </w:rPr>
        <w:t>mid-1860s (PROV, VPRS 16171/P1/6, Linton-2). Under the 1860 Land Act, the remaining grazing leases were revoked. The eastern margin of</w:t>
      </w:r>
      <w:r w:rsidRPr="005A761E">
        <w:rPr>
          <w:rFonts w:ascii="Arial" w:hAnsi="Arial" w:cs="Arial"/>
          <w:spacing w:val="1"/>
          <w:sz w:val="21"/>
          <w:szCs w:val="21"/>
          <w:lang w:val="en-US"/>
        </w:rPr>
        <w:t xml:space="preserve"> </w:t>
      </w:r>
      <w:r w:rsidRPr="005A761E">
        <w:rPr>
          <w:rFonts w:ascii="Arial" w:hAnsi="Arial" w:cs="Arial"/>
          <w:sz w:val="21"/>
          <w:szCs w:val="21"/>
          <w:lang w:val="en-US"/>
        </w:rPr>
        <w:t>the Parish of Linton, including the Arthurs Creek locality, was surveyed in 1856 but remained</w:t>
      </w:r>
      <w:r w:rsidRPr="005A761E">
        <w:rPr>
          <w:rFonts w:ascii="Arial" w:hAnsi="Arial" w:cs="Arial"/>
          <w:spacing w:val="1"/>
          <w:sz w:val="21"/>
          <w:szCs w:val="21"/>
          <w:lang w:val="en-US"/>
        </w:rPr>
        <w:t xml:space="preserve"> </w:t>
      </w:r>
      <w:r w:rsidRPr="005A761E">
        <w:rPr>
          <w:rFonts w:ascii="Arial" w:hAnsi="Arial" w:cs="Arial"/>
          <w:sz w:val="21"/>
          <w:szCs w:val="21"/>
          <w:lang w:val="en-US"/>
        </w:rPr>
        <w:t>unsold.</w:t>
      </w:r>
      <w:r w:rsidRPr="005A761E">
        <w:rPr>
          <w:rFonts w:ascii="Arial" w:hAnsi="Arial" w:cs="Arial"/>
          <w:spacing w:val="-3"/>
          <w:sz w:val="21"/>
          <w:szCs w:val="21"/>
          <w:lang w:val="en-US"/>
        </w:rPr>
        <w:t xml:space="preserve"> </w:t>
      </w:r>
      <w:r w:rsidRPr="005A761E">
        <w:rPr>
          <w:rFonts w:ascii="Arial" w:hAnsi="Arial" w:cs="Arial"/>
          <w:sz w:val="21"/>
          <w:szCs w:val="21"/>
          <w:lang w:val="en-US"/>
        </w:rPr>
        <w:t>Lots</w:t>
      </w:r>
      <w:r w:rsidRPr="005A761E">
        <w:rPr>
          <w:rFonts w:ascii="Arial" w:hAnsi="Arial" w:cs="Arial"/>
          <w:spacing w:val="-1"/>
          <w:sz w:val="21"/>
          <w:szCs w:val="21"/>
          <w:lang w:val="en-US"/>
        </w:rPr>
        <w:t xml:space="preserve"> </w:t>
      </w:r>
      <w:r w:rsidRPr="005A761E">
        <w:rPr>
          <w:rFonts w:ascii="Arial" w:hAnsi="Arial" w:cs="Arial"/>
          <w:sz w:val="21"/>
          <w:szCs w:val="21"/>
          <w:lang w:val="en-US"/>
        </w:rPr>
        <w:t>16,</w:t>
      </w:r>
      <w:r w:rsidRPr="005A761E">
        <w:rPr>
          <w:rFonts w:ascii="Arial" w:hAnsi="Arial" w:cs="Arial"/>
          <w:spacing w:val="-2"/>
          <w:sz w:val="21"/>
          <w:szCs w:val="21"/>
          <w:lang w:val="en-US"/>
        </w:rPr>
        <w:t xml:space="preserve"> </w:t>
      </w:r>
      <w:r w:rsidRPr="005A761E">
        <w:rPr>
          <w:rFonts w:ascii="Arial" w:hAnsi="Arial" w:cs="Arial"/>
          <w:sz w:val="21"/>
          <w:szCs w:val="21"/>
          <w:lang w:val="en-US"/>
        </w:rPr>
        <w:t>17</w:t>
      </w:r>
      <w:r w:rsidRPr="005A761E">
        <w:rPr>
          <w:rFonts w:ascii="Arial" w:hAnsi="Arial" w:cs="Arial"/>
          <w:spacing w:val="-1"/>
          <w:sz w:val="21"/>
          <w:szCs w:val="21"/>
          <w:lang w:val="en-US"/>
        </w:rPr>
        <w:t xml:space="preserve"> </w:t>
      </w:r>
      <w:r w:rsidRPr="005A761E">
        <w:rPr>
          <w:rFonts w:ascii="Arial" w:hAnsi="Arial" w:cs="Arial"/>
          <w:sz w:val="21"/>
          <w:szCs w:val="21"/>
          <w:lang w:val="en-US"/>
        </w:rPr>
        <w:t>and</w:t>
      </w:r>
      <w:r w:rsidRPr="005A761E">
        <w:rPr>
          <w:rFonts w:ascii="Arial" w:hAnsi="Arial" w:cs="Arial"/>
          <w:spacing w:val="-1"/>
          <w:sz w:val="21"/>
          <w:szCs w:val="21"/>
          <w:lang w:val="en-US"/>
        </w:rPr>
        <w:t xml:space="preserve"> </w:t>
      </w:r>
      <w:r w:rsidRPr="005A761E">
        <w:rPr>
          <w:rFonts w:ascii="Arial" w:hAnsi="Arial" w:cs="Arial"/>
          <w:sz w:val="21"/>
          <w:szCs w:val="21"/>
          <w:lang w:val="en-US"/>
        </w:rPr>
        <w:t>24</w:t>
      </w:r>
      <w:r w:rsidRPr="005A761E">
        <w:rPr>
          <w:rFonts w:ascii="Arial" w:hAnsi="Arial" w:cs="Arial"/>
          <w:spacing w:val="-1"/>
          <w:sz w:val="21"/>
          <w:szCs w:val="21"/>
          <w:lang w:val="en-US"/>
        </w:rPr>
        <w:t xml:space="preserve"> </w:t>
      </w:r>
      <w:r w:rsidRPr="005A761E">
        <w:rPr>
          <w:rFonts w:ascii="Arial" w:hAnsi="Arial" w:cs="Arial"/>
          <w:sz w:val="21"/>
          <w:szCs w:val="21"/>
          <w:lang w:val="en-US"/>
        </w:rPr>
        <w:t>of</w:t>
      </w:r>
      <w:r w:rsidRPr="005A761E">
        <w:rPr>
          <w:rFonts w:ascii="Arial" w:hAnsi="Arial" w:cs="Arial"/>
          <w:spacing w:val="-2"/>
          <w:sz w:val="21"/>
          <w:szCs w:val="21"/>
          <w:lang w:val="en-US"/>
        </w:rPr>
        <w:t xml:space="preserve"> </w:t>
      </w:r>
      <w:r w:rsidRPr="005A761E">
        <w:rPr>
          <w:rFonts w:ascii="Arial" w:hAnsi="Arial" w:cs="Arial"/>
          <w:sz w:val="21"/>
          <w:szCs w:val="21"/>
          <w:lang w:val="en-US"/>
        </w:rPr>
        <w:t>this</w:t>
      </w:r>
      <w:r w:rsidRPr="005A761E">
        <w:rPr>
          <w:rFonts w:ascii="Arial" w:hAnsi="Arial" w:cs="Arial"/>
          <w:spacing w:val="-1"/>
          <w:sz w:val="21"/>
          <w:szCs w:val="21"/>
          <w:lang w:val="en-US"/>
        </w:rPr>
        <w:t xml:space="preserve"> </w:t>
      </w:r>
      <w:r w:rsidRPr="005A761E">
        <w:rPr>
          <w:rFonts w:ascii="Arial" w:hAnsi="Arial" w:cs="Arial"/>
          <w:sz w:val="21"/>
          <w:szCs w:val="21"/>
          <w:lang w:val="en-US"/>
        </w:rPr>
        <w:t>survey</w:t>
      </w:r>
      <w:r w:rsidRPr="005A761E">
        <w:rPr>
          <w:rFonts w:ascii="Arial" w:hAnsi="Arial" w:cs="Arial"/>
          <w:spacing w:val="-1"/>
          <w:sz w:val="21"/>
          <w:szCs w:val="21"/>
          <w:lang w:val="en-US"/>
        </w:rPr>
        <w:t xml:space="preserve"> </w:t>
      </w:r>
      <w:r w:rsidRPr="005A761E">
        <w:rPr>
          <w:rFonts w:ascii="Arial" w:hAnsi="Arial" w:cs="Arial"/>
          <w:sz w:val="21"/>
          <w:szCs w:val="21"/>
          <w:lang w:val="en-US"/>
        </w:rPr>
        <w:t>were</w:t>
      </w:r>
      <w:r w:rsidRPr="005A761E">
        <w:rPr>
          <w:rFonts w:ascii="Arial" w:hAnsi="Arial" w:cs="Arial"/>
          <w:spacing w:val="-1"/>
          <w:sz w:val="21"/>
          <w:szCs w:val="21"/>
          <w:lang w:val="en-US"/>
        </w:rPr>
        <w:t xml:space="preserve"> </w:t>
      </w:r>
      <w:r w:rsidRPr="005A761E">
        <w:rPr>
          <w:rFonts w:ascii="Arial" w:hAnsi="Arial" w:cs="Arial"/>
          <w:sz w:val="21"/>
          <w:szCs w:val="21"/>
          <w:lang w:val="en-US"/>
        </w:rPr>
        <w:t>the</w:t>
      </w:r>
      <w:r w:rsidRPr="005A761E">
        <w:rPr>
          <w:rFonts w:ascii="Arial" w:hAnsi="Arial" w:cs="Arial"/>
          <w:spacing w:val="-1"/>
          <w:sz w:val="21"/>
          <w:szCs w:val="21"/>
          <w:lang w:val="en-US"/>
        </w:rPr>
        <w:t xml:space="preserve"> </w:t>
      </w:r>
      <w:r w:rsidRPr="005A761E">
        <w:rPr>
          <w:rFonts w:ascii="Arial" w:hAnsi="Arial" w:cs="Arial"/>
          <w:sz w:val="21"/>
          <w:szCs w:val="21"/>
          <w:lang w:val="en-US"/>
        </w:rPr>
        <w:t>first</w:t>
      </w:r>
      <w:r w:rsidRPr="005A761E">
        <w:rPr>
          <w:rFonts w:ascii="Arial" w:hAnsi="Arial" w:cs="Arial"/>
          <w:spacing w:val="-2"/>
          <w:sz w:val="21"/>
          <w:szCs w:val="21"/>
          <w:lang w:val="en-US"/>
        </w:rPr>
        <w:t xml:space="preserve"> </w:t>
      </w:r>
      <w:r w:rsidRPr="005A761E">
        <w:rPr>
          <w:rFonts w:ascii="Arial" w:hAnsi="Arial" w:cs="Arial"/>
          <w:sz w:val="21"/>
          <w:szCs w:val="21"/>
          <w:lang w:val="en-US"/>
        </w:rPr>
        <w:t>to</w:t>
      </w:r>
      <w:r w:rsidRPr="005A761E">
        <w:rPr>
          <w:rFonts w:ascii="Arial" w:hAnsi="Arial" w:cs="Arial"/>
          <w:spacing w:val="-1"/>
          <w:sz w:val="21"/>
          <w:szCs w:val="21"/>
          <w:lang w:val="en-US"/>
        </w:rPr>
        <w:t xml:space="preserve"> </w:t>
      </w:r>
      <w:r w:rsidRPr="005A761E">
        <w:rPr>
          <w:rFonts w:ascii="Arial" w:hAnsi="Arial" w:cs="Arial"/>
          <w:sz w:val="21"/>
          <w:szCs w:val="21"/>
          <w:lang w:val="en-US"/>
        </w:rPr>
        <w:t>be</w:t>
      </w:r>
      <w:r w:rsidRPr="005A761E">
        <w:rPr>
          <w:rFonts w:ascii="Arial" w:hAnsi="Arial" w:cs="Arial"/>
          <w:spacing w:val="-1"/>
          <w:sz w:val="21"/>
          <w:szCs w:val="21"/>
          <w:lang w:val="en-US"/>
        </w:rPr>
        <w:t xml:space="preserve"> </w:t>
      </w:r>
      <w:r w:rsidRPr="005A761E">
        <w:rPr>
          <w:rFonts w:ascii="Arial" w:hAnsi="Arial" w:cs="Arial"/>
          <w:sz w:val="21"/>
          <w:szCs w:val="21"/>
          <w:lang w:val="en-US"/>
        </w:rPr>
        <w:t>selected</w:t>
      </w:r>
      <w:r w:rsidRPr="005A761E">
        <w:rPr>
          <w:rFonts w:ascii="Arial" w:hAnsi="Arial" w:cs="Arial"/>
          <w:spacing w:val="-1"/>
          <w:sz w:val="21"/>
          <w:szCs w:val="21"/>
          <w:lang w:val="en-US"/>
        </w:rPr>
        <w:t xml:space="preserve"> </w:t>
      </w:r>
      <w:r w:rsidRPr="005A761E">
        <w:rPr>
          <w:rFonts w:ascii="Arial" w:hAnsi="Arial" w:cs="Arial"/>
          <w:sz w:val="21"/>
          <w:szCs w:val="21"/>
          <w:lang w:val="en-US"/>
        </w:rPr>
        <w:t>in</w:t>
      </w:r>
      <w:r w:rsidRPr="005A761E">
        <w:rPr>
          <w:rFonts w:ascii="Arial" w:hAnsi="Arial" w:cs="Arial"/>
          <w:spacing w:val="-1"/>
          <w:sz w:val="21"/>
          <w:szCs w:val="21"/>
          <w:lang w:val="en-US"/>
        </w:rPr>
        <w:t xml:space="preserve"> </w:t>
      </w:r>
      <w:r w:rsidRPr="005A761E">
        <w:rPr>
          <w:rFonts w:ascii="Arial" w:hAnsi="Arial" w:cs="Arial"/>
          <w:sz w:val="21"/>
          <w:szCs w:val="21"/>
          <w:lang w:val="en-US"/>
        </w:rPr>
        <w:t>c1861</w:t>
      </w:r>
      <w:r w:rsidRPr="005A761E">
        <w:rPr>
          <w:rFonts w:ascii="Arial" w:hAnsi="Arial" w:cs="Arial"/>
          <w:spacing w:val="-1"/>
          <w:sz w:val="21"/>
          <w:szCs w:val="21"/>
          <w:lang w:val="en-US"/>
        </w:rPr>
        <w:t xml:space="preserve"> </w:t>
      </w:r>
      <w:r w:rsidRPr="005A761E">
        <w:rPr>
          <w:rFonts w:ascii="Arial" w:hAnsi="Arial" w:cs="Arial"/>
          <w:sz w:val="21"/>
          <w:szCs w:val="21"/>
          <w:lang w:val="en-US"/>
        </w:rPr>
        <w:t>by</w:t>
      </w:r>
      <w:r w:rsidRPr="005A761E">
        <w:rPr>
          <w:rFonts w:ascii="Arial" w:hAnsi="Arial" w:cs="Arial"/>
          <w:spacing w:val="-2"/>
          <w:sz w:val="21"/>
          <w:szCs w:val="21"/>
          <w:lang w:val="en-US"/>
        </w:rPr>
        <w:t xml:space="preserve"> </w:t>
      </w:r>
      <w:r w:rsidRPr="005A761E">
        <w:rPr>
          <w:rFonts w:ascii="Arial" w:hAnsi="Arial" w:cs="Arial"/>
          <w:sz w:val="21"/>
          <w:szCs w:val="21"/>
          <w:lang w:val="en-US"/>
        </w:rPr>
        <w:t>C.</w:t>
      </w:r>
      <w:r w:rsidRPr="005A761E">
        <w:rPr>
          <w:rFonts w:ascii="Arial" w:hAnsi="Arial" w:cs="Arial"/>
          <w:spacing w:val="-2"/>
          <w:sz w:val="21"/>
          <w:szCs w:val="21"/>
          <w:lang w:val="en-US"/>
        </w:rPr>
        <w:t xml:space="preserve"> </w:t>
      </w:r>
      <w:r w:rsidRPr="005A761E">
        <w:rPr>
          <w:rFonts w:ascii="Arial" w:hAnsi="Arial" w:cs="Arial"/>
          <w:sz w:val="21"/>
          <w:szCs w:val="21"/>
          <w:lang w:val="en-US"/>
        </w:rPr>
        <w:t>Vaughan, M. McLaughlin and W. Watson (Department of Crown Lands and Survey, 1856). The remainder of the Arthurs Creek area became the Upper</w:t>
      </w:r>
      <w:r w:rsidRPr="005A761E">
        <w:rPr>
          <w:rFonts w:ascii="Arial" w:hAnsi="Arial" w:cs="Arial"/>
          <w:spacing w:val="-53"/>
          <w:sz w:val="21"/>
          <w:szCs w:val="21"/>
          <w:lang w:val="en-US"/>
        </w:rPr>
        <w:t xml:space="preserve"> </w:t>
      </w:r>
      <w:r w:rsidRPr="005A761E">
        <w:rPr>
          <w:rFonts w:ascii="Arial" w:hAnsi="Arial" w:cs="Arial"/>
          <w:sz w:val="21"/>
          <w:szCs w:val="21"/>
          <w:lang w:val="en-US"/>
        </w:rPr>
        <w:t>Plenty Farmers’ Common (later Whittlesea Common) in 1861. An area to the east of Arthurs</w:t>
      </w:r>
      <w:r w:rsidRPr="005A761E">
        <w:rPr>
          <w:rFonts w:ascii="Arial" w:hAnsi="Arial" w:cs="Arial"/>
          <w:spacing w:val="1"/>
          <w:sz w:val="21"/>
          <w:szCs w:val="21"/>
          <w:lang w:val="en-US"/>
        </w:rPr>
        <w:t xml:space="preserve"> </w:t>
      </w:r>
      <w:r w:rsidRPr="005A761E">
        <w:rPr>
          <w:rFonts w:ascii="Arial" w:hAnsi="Arial" w:cs="Arial"/>
          <w:sz w:val="21"/>
          <w:szCs w:val="21"/>
          <w:lang w:val="en-US"/>
        </w:rPr>
        <w:t>Creek was</w:t>
      </w:r>
      <w:r w:rsidRPr="005A761E">
        <w:rPr>
          <w:rFonts w:ascii="Arial" w:hAnsi="Arial" w:cs="Arial"/>
          <w:spacing w:val="1"/>
          <w:sz w:val="21"/>
          <w:szCs w:val="21"/>
          <w:lang w:val="en-US"/>
        </w:rPr>
        <w:t xml:space="preserve"> </w:t>
      </w:r>
      <w:r w:rsidRPr="005A761E">
        <w:rPr>
          <w:rFonts w:ascii="Arial" w:hAnsi="Arial" w:cs="Arial"/>
          <w:sz w:val="21"/>
          <w:szCs w:val="21"/>
          <w:lang w:val="en-US"/>
        </w:rPr>
        <w:t>proclaimed</w:t>
      </w:r>
      <w:r w:rsidRPr="005A761E">
        <w:rPr>
          <w:rFonts w:ascii="Arial" w:hAnsi="Arial" w:cs="Arial"/>
          <w:spacing w:val="1"/>
          <w:sz w:val="21"/>
          <w:szCs w:val="21"/>
          <w:lang w:val="en-US"/>
        </w:rPr>
        <w:t xml:space="preserve"> </w:t>
      </w:r>
      <w:r w:rsidRPr="005A761E">
        <w:rPr>
          <w:rFonts w:ascii="Arial" w:hAnsi="Arial" w:cs="Arial"/>
          <w:sz w:val="21"/>
          <w:szCs w:val="21"/>
          <w:lang w:val="en-US"/>
        </w:rPr>
        <w:t>as</w:t>
      </w:r>
      <w:r w:rsidRPr="005A761E">
        <w:rPr>
          <w:rFonts w:ascii="Arial" w:hAnsi="Arial" w:cs="Arial"/>
          <w:spacing w:val="1"/>
          <w:sz w:val="21"/>
          <w:szCs w:val="21"/>
          <w:lang w:val="en-US"/>
        </w:rPr>
        <w:t xml:space="preserve"> </w:t>
      </w:r>
      <w:r w:rsidRPr="005A761E">
        <w:rPr>
          <w:rFonts w:ascii="Arial" w:hAnsi="Arial" w:cs="Arial"/>
          <w:sz w:val="21"/>
          <w:szCs w:val="21"/>
          <w:lang w:val="en-US"/>
        </w:rPr>
        <w:t>the</w:t>
      </w:r>
      <w:r w:rsidRPr="005A761E">
        <w:rPr>
          <w:rFonts w:ascii="Arial" w:hAnsi="Arial" w:cs="Arial"/>
          <w:spacing w:val="1"/>
          <w:sz w:val="21"/>
          <w:szCs w:val="21"/>
          <w:lang w:val="en-US"/>
        </w:rPr>
        <w:t xml:space="preserve"> </w:t>
      </w:r>
      <w:r w:rsidRPr="005A761E">
        <w:rPr>
          <w:rFonts w:ascii="Arial" w:hAnsi="Arial" w:cs="Arial"/>
          <w:sz w:val="21"/>
          <w:szCs w:val="21"/>
          <w:lang w:val="en-US"/>
        </w:rPr>
        <w:t>Arthurs</w:t>
      </w:r>
      <w:r w:rsidRPr="005A761E">
        <w:rPr>
          <w:rFonts w:ascii="Arial" w:hAnsi="Arial" w:cs="Arial"/>
          <w:spacing w:val="1"/>
          <w:sz w:val="21"/>
          <w:szCs w:val="21"/>
          <w:lang w:val="en-US"/>
        </w:rPr>
        <w:t xml:space="preserve"> </w:t>
      </w:r>
      <w:r w:rsidRPr="005A761E">
        <w:rPr>
          <w:rFonts w:ascii="Arial" w:hAnsi="Arial" w:cs="Arial"/>
          <w:sz w:val="21"/>
          <w:szCs w:val="21"/>
          <w:lang w:val="en-US"/>
        </w:rPr>
        <w:t>Creek</w:t>
      </w:r>
      <w:r w:rsidRPr="005A761E">
        <w:rPr>
          <w:rFonts w:ascii="Arial" w:hAnsi="Arial" w:cs="Arial"/>
          <w:spacing w:val="1"/>
          <w:sz w:val="21"/>
          <w:szCs w:val="21"/>
          <w:lang w:val="en-US"/>
        </w:rPr>
        <w:t xml:space="preserve"> </w:t>
      </w:r>
      <w:r w:rsidRPr="005A761E">
        <w:rPr>
          <w:rFonts w:ascii="Arial" w:hAnsi="Arial" w:cs="Arial"/>
          <w:sz w:val="21"/>
          <w:szCs w:val="21"/>
          <w:lang w:val="en-US"/>
        </w:rPr>
        <w:t>Common</w:t>
      </w:r>
      <w:r w:rsidRPr="005A761E">
        <w:rPr>
          <w:rFonts w:ascii="Arial" w:hAnsi="Arial" w:cs="Arial"/>
          <w:spacing w:val="1"/>
          <w:sz w:val="21"/>
          <w:szCs w:val="21"/>
          <w:lang w:val="en-US"/>
        </w:rPr>
        <w:t xml:space="preserve"> </w:t>
      </w:r>
      <w:r w:rsidRPr="005A761E">
        <w:rPr>
          <w:rFonts w:ascii="Arial" w:hAnsi="Arial" w:cs="Arial"/>
          <w:sz w:val="21"/>
          <w:szCs w:val="21"/>
          <w:lang w:val="en-US"/>
        </w:rPr>
        <w:t>in</w:t>
      </w:r>
      <w:r w:rsidRPr="005A761E">
        <w:rPr>
          <w:rFonts w:ascii="Arial" w:hAnsi="Arial" w:cs="Arial"/>
          <w:spacing w:val="1"/>
          <w:sz w:val="21"/>
          <w:szCs w:val="21"/>
          <w:lang w:val="en-US"/>
        </w:rPr>
        <w:t xml:space="preserve"> </w:t>
      </w:r>
      <w:r w:rsidRPr="005A761E">
        <w:rPr>
          <w:rFonts w:ascii="Arial" w:hAnsi="Arial" w:cs="Arial"/>
          <w:sz w:val="21"/>
          <w:szCs w:val="21"/>
          <w:lang w:val="en-US"/>
        </w:rPr>
        <w:t>1871 (</w:t>
      </w:r>
      <w:r w:rsidRPr="005A761E">
        <w:rPr>
          <w:rFonts w:ascii="Arial" w:hAnsi="Arial" w:cs="Arial"/>
          <w:i/>
          <w:iCs/>
          <w:sz w:val="21"/>
          <w:szCs w:val="21"/>
          <w:lang w:val="en-US"/>
        </w:rPr>
        <w:t>Vic Gov</w:t>
      </w:r>
      <w:r w:rsidRPr="005A761E">
        <w:rPr>
          <w:rFonts w:ascii="Arial" w:hAnsi="Arial" w:cs="Arial"/>
          <w:i/>
          <w:iCs/>
          <w:spacing w:val="-1"/>
          <w:sz w:val="21"/>
          <w:szCs w:val="21"/>
          <w:lang w:val="en-US"/>
        </w:rPr>
        <w:t xml:space="preserve"> </w:t>
      </w:r>
      <w:r w:rsidRPr="005A761E">
        <w:rPr>
          <w:rFonts w:ascii="Arial" w:hAnsi="Arial" w:cs="Arial"/>
          <w:i/>
          <w:iCs/>
          <w:sz w:val="21"/>
          <w:szCs w:val="21"/>
          <w:lang w:val="en-US"/>
        </w:rPr>
        <w:t>Gazette</w:t>
      </w:r>
      <w:r w:rsidRPr="005A761E">
        <w:rPr>
          <w:rFonts w:ascii="Arial" w:hAnsi="Arial" w:cs="Arial"/>
          <w:sz w:val="21"/>
          <w:szCs w:val="21"/>
          <w:lang w:val="en-US"/>
        </w:rPr>
        <w:t>, 26</w:t>
      </w:r>
      <w:r w:rsidRPr="005A761E">
        <w:rPr>
          <w:rFonts w:ascii="Arial" w:hAnsi="Arial" w:cs="Arial"/>
          <w:spacing w:val="-1"/>
          <w:sz w:val="21"/>
          <w:szCs w:val="21"/>
          <w:lang w:val="en-US"/>
        </w:rPr>
        <w:t xml:space="preserve"> </w:t>
      </w:r>
      <w:r w:rsidRPr="005A761E">
        <w:rPr>
          <w:rFonts w:ascii="Arial" w:hAnsi="Arial" w:cs="Arial"/>
          <w:sz w:val="21"/>
          <w:szCs w:val="21"/>
          <w:lang w:val="en-US"/>
        </w:rPr>
        <w:t>March 1861, No.48</w:t>
      </w:r>
      <w:r w:rsidRPr="005A761E">
        <w:rPr>
          <w:rFonts w:ascii="Arial" w:hAnsi="Arial" w:cs="Arial"/>
          <w:spacing w:val="-1"/>
          <w:sz w:val="21"/>
          <w:szCs w:val="21"/>
          <w:lang w:val="en-US"/>
        </w:rPr>
        <w:t>:</w:t>
      </w:r>
      <w:r w:rsidRPr="005A761E">
        <w:rPr>
          <w:rFonts w:ascii="Arial" w:hAnsi="Arial" w:cs="Arial"/>
          <w:sz w:val="21"/>
          <w:szCs w:val="21"/>
          <w:lang w:val="en-US"/>
        </w:rPr>
        <w:t xml:space="preserve">632; PROV, VPRS 0242/P0, file C90869). Most of the </w:t>
      </w:r>
      <w:r w:rsidRPr="005A761E">
        <w:rPr>
          <w:rFonts w:ascii="Arial" w:hAnsi="Arial" w:cs="Arial"/>
          <w:sz w:val="21"/>
          <w:szCs w:val="21"/>
          <w:lang w:val="en-US"/>
        </w:rPr>
        <w:lastRenderedPageBreak/>
        <w:t>European settlers in the area were orchardists and dairy farmers, the most famous of which were the Ryders and Drapers (PROV, VPRS 16171/P1/6, Linton-2).  The homesteads of the 1860s such as those of the Ryders and Murphys were typically slab</w:t>
      </w:r>
      <w:r w:rsidRPr="005A761E">
        <w:rPr>
          <w:rFonts w:ascii="Arial" w:hAnsi="Arial" w:cs="Arial"/>
          <w:spacing w:val="1"/>
          <w:sz w:val="21"/>
          <w:szCs w:val="21"/>
          <w:lang w:val="en-US"/>
        </w:rPr>
        <w:t xml:space="preserve"> </w:t>
      </w:r>
      <w:r w:rsidRPr="005A761E">
        <w:rPr>
          <w:rFonts w:ascii="Arial" w:hAnsi="Arial" w:cs="Arial"/>
          <w:sz w:val="21"/>
          <w:szCs w:val="21"/>
          <w:lang w:val="en-US"/>
        </w:rPr>
        <w:t xml:space="preserve">huts (PROV, VPRS 627/ P1, Unit 235, File No 19301). Butter, eggs and poultry were often the first source of income.  </w:t>
      </w:r>
    </w:p>
    <w:p w14:paraId="710CBF9C" w14:textId="77777777" w:rsidR="001464A4" w:rsidRPr="005A761E" w:rsidRDefault="001464A4" w:rsidP="001464A4">
      <w:pPr>
        <w:pStyle w:val="xmsonormal"/>
        <w:autoSpaceDE w:val="0"/>
        <w:autoSpaceDN w:val="0"/>
        <w:spacing w:before="130" w:line="252" w:lineRule="auto"/>
        <w:jc w:val="both"/>
        <w:rPr>
          <w:rFonts w:ascii="Arial" w:hAnsi="Arial" w:cs="Arial"/>
          <w:sz w:val="21"/>
          <w:szCs w:val="21"/>
          <w:lang w:val="en-US"/>
        </w:rPr>
      </w:pPr>
      <w:r w:rsidRPr="005A761E">
        <w:rPr>
          <w:rFonts w:ascii="Arial" w:hAnsi="Arial" w:cs="Arial"/>
          <w:sz w:val="21"/>
          <w:szCs w:val="21"/>
          <w:lang w:val="en-US"/>
        </w:rPr>
        <w:t>A village began to appear in the early 1870s, with the</w:t>
      </w:r>
      <w:r w:rsidRPr="005A761E">
        <w:rPr>
          <w:rFonts w:ascii="Arial" w:hAnsi="Arial" w:cs="Arial"/>
          <w:spacing w:val="1"/>
          <w:sz w:val="21"/>
          <w:szCs w:val="21"/>
          <w:lang w:val="en-US"/>
        </w:rPr>
        <w:t xml:space="preserve"> </w:t>
      </w:r>
      <w:r w:rsidRPr="005A761E">
        <w:rPr>
          <w:rFonts w:ascii="Arial" w:hAnsi="Arial" w:cs="Arial"/>
          <w:sz w:val="21"/>
          <w:szCs w:val="21"/>
          <w:lang w:val="en-US"/>
        </w:rPr>
        <w:t>Primitive Methodist church established in 1873, the school opened in 1876 and the Mechanics’</w:t>
      </w:r>
      <w:r w:rsidRPr="005A761E">
        <w:rPr>
          <w:rFonts w:ascii="Arial" w:hAnsi="Arial" w:cs="Arial"/>
          <w:spacing w:val="-53"/>
          <w:sz w:val="21"/>
          <w:szCs w:val="21"/>
          <w:lang w:val="en-US"/>
        </w:rPr>
        <w:t xml:space="preserve"> </w:t>
      </w:r>
      <w:r w:rsidRPr="005A761E">
        <w:rPr>
          <w:rFonts w:ascii="Arial" w:hAnsi="Arial" w:cs="Arial"/>
          <w:sz w:val="21"/>
          <w:szCs w:val="21"/>
          <w:lang w:val="en-US"/>
        </w:rPr>
        <w:t>Institute in 1878. The Arthur’s Creek Fruitgrowers’ Association formed in 1890 and held</w:t>
      </w:r>
      <w:r w:rsidRPr="005A761E">
        <w:rPr>
          <w:rFonts w:ascii="Arial" w:hAnsi="Arial" w:cs="Arial"/>
          <w:spacing w:val="1"/>
          <w:sz w:val="21"/>
          <w:szCs w:val="21"/>
          <w:lang w:val="en-US"/>
        </w:rPr>
        <w:t xml:space="preserve"> </w:t>
      </w:r>
      <w:r w:rsidRPr="005A761E">
        <w:rPr>
          <w:rFonts w:ascii="Arial" w:hAnsi="Arial" w:cs="Arial"/>
          <w:sz w:val="21"/>
          <w:szCs w:val="21"/>
          <w:lang w:val="en-US"/>
        </w:rPr>
        <w:t>meetings and competitive exhibitions of fruit at the Mechanics’ Institute (</w:t>
      </w:r>
      <w:r w:rsidRPr="005A761E">
        <w:rPr>
          <w:rFonts w:ascii="Arial" w:hAnsi="Arial" w:cs="Arial"/>
          <w:i/>
          <w:iCs/>
          <w:sz w:val="21"/>
          <w:szCs w:val="21"/>
          <w:lang w:val="en-US"/>
        </w:rPr>
        <w:t xml:space="preserve">Argus, </w:t>
      </w:r>
      <w:r w:rsidRPr="005A761E">
        <w:rPr>
          <w:rFonts w:ascii="Arial" w:hAnsi="Arial" w:cs="Arial"/>
          <w:sz w:val="21"/>
          <w:szCs w:val="21"/>
          <w:lang w:val="en-US"/>
        </w:rPr>
        <w:t>14 May 1890:6).</w:t>
      </w:r>
      <w:r w:rsidRPr="005A761E">
        <w:rPr>
          <w:rFonts w:ascii="Arial" w:hAnsi="Arial" w:cs="Arial"/>
          <w:sz w:val="21"/>
          <w:szCs w:val="21"/>
          <w:vertAlign w:val="superscript"/>
          <w:lang w:val="en-US"/>
        </w:rPr>
        <w:t xml:space="preserve"> </w:t>
      </w:r>
      <w:r w:rsidRPr="005A761E">
        <w:rPr>
          <w:rFonts w:ascii="Arial" w:hAnsi="Arial" w:cs="Arial"/>
          <w:sz w:val="21"/>
          <w:szCs w:val="21"/>
          <w:lang w:val="en-US"/>
        </w:rPr>
        <w:t>Daily mail services</w:t>
      </w:r>
      <w:r w:rsidRPr="005A761E">
        <w:rPr>
          <w:rFonts w:ascii="Arial" w:hAnsi="Arial" w:cs="Arial"/>
          <w:spacing w:val="1"/>
          <w:sz w:val="21"/>
          <w:szCs w:val="21"/>
          <w:lang w:val="en-US"/>
        </w:rPr>
        <w:t xml:space="preserve"> </w:t>
      </w:r>
      <w:r w:rsidRPr="005A761E">
        <w:rPr>
          <w:rFonts w:ascii="Arial" w:hAnsi="Arial" w:cs="Arial"/>
          <w:sz w:val="21"/>
          <w:szCs w:val="21"/>
          <w:lang w:val="en-US"/>
        </w:rPr>
        <w:t>started in 1889. By 1899 George Murphy had built a post office and store (</w:t>
      </w:r>
      <w:r w:rsidRPr="005A761E">
        <w:rPr>
          <w:rFonts w:ascii="Arial" w:hAnsi="Arial" w:cs="Arial"/>
          <w:i/>
          <w:iCs/>
          <w:sz w:val="21"/>
          <w:szCs w:val="21"/>
          <w:lang w:val="en-US"/>
        </w:rPr>
        <w:t xml:space="preserve">E&amp;WSA&amp; DCVA, </w:t>
      </w:r>
      <w:r w:rsidRPr="005A761E">
        <w:rPr>
          <w:rFonts w:ascii="Arial" w:hAnsi="Arial" w:cs="Arial"/>
          <w:sz w:val="21"/>
          <w:szCs w:val="21"/>
          <w:lang w:val="en-US"/>
        </w:rPr>
        <w:t>26</w:t>
      </w:r>
      <w:r w:rsidRPr="005A761E">
        <w:rPr>
          <w:rFonts w:ascii="Arial" w:hAnsi="Arial" w:cs="Arial"/>
          <w:spacing w:val="-43"/>
          <w:sz w:val="21"/>
          <w:szCs w:val="21"/>
          <w:lang w:val="en-US"/>
        </w:rPr>
        <w:t xml:space="preserve"> </w:t>
      </w:r>
      <w:r w:rsidRPr="005A761E">
        <w:rPr>
          <w:rFonts w:ascii="Arial" w:hAnsi="Arial" w:cs="Arial"/>
          <w:sz w:val="21"/>
          <w:szCs w:val="21"/>
          <w:lang w:val="en-US"/>
        </w:rPr>
        <w:t>April 1918</w:t>
      </w:r>
      <w:r w:rsidRPr="005A761E">
        <w:rPr>
          <w:rFonts w:ascii="Arial" w:hAnsi="Arial" w:cs="Arial"/>
          <w:spacing w:val="1"/>
          <w:sz w:val="21"/>
          <w:szCs w:val="21"/>
          <w:lang w:val="en-US"/>
        </w:rPr>
        <w:t xml:space="preserve"> </w:t>
      </w:r>
      <w:r w:rsidRPr="005A761E">
        <w:rPr>
          <w:rFonts w:ascii="Arial" w:hAnsi="Arial" w:cs="Arial"/>
          <w:sz w:val="21"/>
          <w:szCs w:val="21"/>
          <w:lang w:val="en-US"/>
        </w:rPr>
        <w:t>:3; Payne 1975:191).</w:t>
      </w:r>
      <w:r w:rsidRPr="005A761E">
        <w:rPr>
          <w:rFonts w:ascii="Arial" w:hAnsi="Arial" w:cs="Arial"/>
          <w:spacing w:val="-1"/>
          <w:sz w:val="21"/>
          <w:szCs w:val="21"/>
          <w:lang w:val="en-US"/>
        </w:rPr>
        <w:t xml:space="preserve"> </w:t>
      </w:r>
      <w:r w:rsidRPr="005A761E">
        <w:rPr>
          <w:rFonts w:ascii="Arial" w:hAnsi="Arial" w:cs="Arial"/>
          <w:sz w:val="21"/>
          <w:szCs w:val="21"/>
          <w:lang w:val="en-US"/>
        </w:rPr>
        <w:t>The</w:t>
      </w:r>
      <w:r w:rsidRPr="005A761E">
        <w:rPr>
          <w:rFonts w:ascii="Arial" w:hAnsi="Arial" w:cs="Arial"/>
          <w:spacing w:val="1"/>
          <w:sz w:val="21"/>
          <w:szCs w:val="21"/>
          <w:lang w:val="en-US"/>
        </w:rPr>
        <w:t xml:space="preserve"> </w:t>
      </w:r>
      <w:r w:rsidRPr="005A761E">
        <w:rPr>
          <w:rFonts w:ascii="Arial" w:hAnsi="Arial" w:cs="Arial"/>
          <w:sz w:val="21"/>
          <w:szCs w:val="21"/>
          <w:lang w:val="en-US"/>
        </w:rPr>
        <w:t>settlement would</w:t>
      </w:r>
      <w:r w:rsidRPr="005A761E">
        <w:rPr>
          <w:rFonts w:ascii="Arial" w:hAnsi="Arial" w:cs="Arial"/>
          <w:spacing w:val="1"/>
          <w:sz w:val="21"/>
          <w:szCs w:val="21"/>
          <w:lang w:val="en-US"/>
        </w:rPr>
        <w:t xml:space="preserve"> </w:t>
      </w:r>
      <w:r w:rsidRPr="005A761E">
        <w:rPr>
          <w:rFonts w:ascii="Arial" w:hAnsi="Arial" w:cs="Arial"/>
          <w:sz w:val="21"/>
          <w:szCs w:val="21"/>
          <w:lang w:val="en-US"/>
        </w:rPr>
        <w:t>expand</w:t>
      </w:r>
      <w:r w:rsidRPr="005A761E">
        <w:rPr>
          <w:rFonts w:ascii="Arial" w:hAnsi="Arial" w:cs="Arial"/>
          <w:spacing w:val="1"/>
          <w:sz w:val="21"/>
          <w:szCs w:val="21"/>
          <w:lang w:val="en-US"/>
        </w:rPr>
        <w:t xml:space="preserve"> </w:t>
      </w:r>
      <w:r w:rsidRPr="005A761E">
        <w:rPr>
          <w:rFonts w:ascii="Arial" w:hAnsi="Arial" w:cs="Arial"/>
          <w:sz w:val="21"/>
          <w:szCs w:val="21"/>
          <w:lang w:val="en-US"/>
        </w:rPr>
        <w:t>little</w:t>
      </w:r>
      <w:r w:rsidRPr="005A761E">
        <w:rPr>
          <w:rFonts w:ascii="Arial" w:hAnsi="Arial" w:cs="Arial"/>
          <w:spacing w:val="1"/>
          <w:sz w:val="21"/>
          <w:szCs w:val="21"/>
          <w:lang w:val="en-US"/>
        </w:rPr>
        <w:t xml:space="preserve"> </w:t>
      </w:r>
      <w:r w:rsidRPr="005A761E">
        <w:rPr>
          <w:rFonts w:ascii="Arial" w:hAnsi="Arial" w:cs="Arial"/>
          <w:sz w:val="21"/>
          <w:szCs w:val="21"/>
          <w:lang w:val="en-US"/>
        </w:rPr>
        <w:t>after</w:t>
      </w:r>
      <w:r w:rsidRPr="005A761E">
        <w:rPr>
          <w:rFonts w:ascii="Arial" w:hAnsi="Arial" w:cs="Arial"/>
          <w:spacing w:val="1"/>
          <w:sz w:val="21"/>
          <w:szCs w:val="21"/>
          <w:lang w:val="en-US"/>
        </w:rPr>
        <w:t xml:space="preserve"> </w:t>
      </w:r>
      <w:r w:rsidRPr="005A761E">
        <w:rPr>
          <w:rFonts w:ascii="Arial" w:hAnsi="Arial" w:cs="Arial"/>
          <w:sz w:val="21"/>
          <w:szCs w:val="21"/>
          <w:lang w:val="en-US"/>
        </w:rPr>
        <w:t>this point. In the late 1880s there were 1500 acres under fruit within a three-mile radius of Arthur’s Creek.</w:t>
      </w:r>
      <w:r w:rsidRPr="005A761E">
        <w:rPr>
          <w:rFonts w:ascii="Arial" w:hAnsi="Arial" w:cs="Arial"/>
          <w:spacing w:val="-53"/>
          <w:sz w:val="21"/>
          <w:szCs w:val="21"/>
          <w:lang w:val="en-US"/>
        </w:rPr>
        <w:t xml:space="preserve"> </w:t>
      </w:r>
      <w:r w:rsidRPr="005A761E">
        <w:rPr>
          <w:rFonts w:ascii="Arial" w:hAnsi="Arial" w:cs="Arial"/>
          <w:sz w:val="21"/>
          <w:szCs w:val="21"/>
          <w:lang w:val="en-US"/>
        </w:rPr>
        <w:t>The extension of the railway to Yan Yean in 1889 made transport to market easier and</w:t>
      </w:r>
      <w:r w:rsidRPr="005A761E">
        <w:rPr>
          <w:rFonts w:ascii="Arial" w:hAnsi="Arial" w:cs="Arial"/>
          <w:spacing w:val="1"/>
          <w:sz w:val="21"/>
          <w:szCs w:val="21"/>
          <w:lang w:val="en-US"/>
        </w:rPr>
        <w:t xml:space="preserve"> </w:t>
      </w:r>
      <w:r w:rsidRPr="005A761E">
        <w:rPr>
          <w:rFonts w:ascii="Arial" w:hAnsi="Arial" w:cs="Arial"/>
          <w:sz w:val="21"/>
          <w:szCs w:val="21"/>
          <w:lang w:val="en-US"/>
        </w:rPr>
        <w:t>quicker (</w:t>
      </w:r>
      <w:r w:rsidRPr="005A761E">
        <w:rPr>
          <w:rFonts w:ascii="Arial" w:hAnsi="Arial" w:cs="Arial"/>
          <w:i/>
          <w:iCs/>
          <w:sz w:val="21"/>
          <w:szCs w:val="21"/>
          <w:lang w:val="en-US"/>
        </w:rPr>
        <w:t xml:space="preserve">Argus, </w:t>
      </w:r>
      <w:r w:rsidRPr="005A761E">
        <w:rPr>
          <w:rFonts w:ascii="Arial" w:hAnsi="Arial" w:cs="Arial"/>
          <w:sz w:val="21"/>
          <w:szCs w:val="21"/>
          <w:lang w:val="en-US"/>
        </w:rPr>
        <w:t xml:space="preserve">21 October 1889:9). </w:t>
      </w:r>
    </w:p>
    <w:p w14:paraId="111FC048" w14:textId="77777777" w:rsidR="001464A4" w:rsidRPr="005A761E" w:rsidRDefault="001464A4" w:rsidP="001464A4">
      <w:pPr>
        <w:rPr>
          <w:rFonts w:cs="Arial"/>
          <w:sz w:val="21"/>
          <w:szCs w:val="21"/>
          <w:lang w:val="en-US"/>
        </w:rPr>
      </w:pPr>
      <w:r w:rsidRPr="005A761E">
        <w:rPr>
          <w:rFonts w:cs="Arial"/>
          <w:sz w:val="21"/>
          <w:szCs w:val="21"/>
          <w:lang w:val="en-US"/>
        </w:rPr>
        <w:t> </w:t>
      </w:r>
    </w:p>
    <w:p w14:paraId="0A204055" w14:textId="77777777" w:rsidR="001464A4" w:rsidRPr="005A761E" w:rsidRDefault="001464A4" w:rsidP="001464A4">
      <w:pPr>
        <w:pStyle w:val="xmsonormal"/>
        <w:autoSpaceDE w:val="0"/>
        <w:autoSpaceDN w:val="0"/>
        <w:spacing w:line="252" w:lineRule="auto"/>
        <w:ind w:right="156"/>
        <w:jc w:val="both"/>
        <w:rPr>
          <w:rFonts w:ascii="Arial" w:eastAsia="Times New Roman" w:hAnsi="Arial" w:cs="Arial"/>
          <w:sz w:val="21"/>
          <w:szCs w:val="21"/>
        </w:rPr>
      </w:pPr>
      <w:r w:rsidRPr="005A761E">
        <w:rPr>
          <w:rFonts w:ascii="Arial" w:eastAsia="Times New Roman" w:hAnsi="Arial" w:cs="Arial"/>
          <w:sz w:val="21"/>
          <w:szCs w:val="21"/>
        </w:rPr>
        <w:t>Poor prices during the Depression compounded the decline, and by the late 1930s all but the largest and most progressive orchards were unprofitable. Orchards were cleared and the land turned over to sheep. Markets for lamb and wool were variable and while the larger farms survived on sheep, the smaller holdings reverted to dairying and pigs. By the 1970s beef cattle were becoming more profitable. Orcharding continued at Glen Ard, which by 1975 was reputedly the largest orchard in southern Victoria (</w:t>
      </w:r>
      <w:bookmarkStart w:id="1" w:name="_Hlk98929670"/>
      <w:r w:rsidRPr="005A761E">
        <w:rPr>
          <w:rFonts w:ascii="Arial" w:eastAsia="Times New Roman" w:hAnsi="Arial" w:cs="Arial"/>
          <w:sz w:val="21"/>
          <w:szCs w:val="21"/>
        </w:rPr>
        <w:t>Five Pear Trees, Apted's Glen Ard Orchard</w:t>
      </w:r>
      <w:bookmarkEnd w:id="1"/>
      <w:r w:rsidRPr="005A761E">
        <w:rPr>
          <w:rFonts w:ascii="Arial" w:eastAsia="Times New Roman" w:hAnsi="Arial" w:cs="Arial"/>
          <w:sz w:val="21"/>
          <w:szCs w:val="21"/>
        </w:rPr>
        <w:t xml:space="preserve">, 120997). The township had about 350 residents at the 1996 census (Hunter-Payne, 2008). </w:t>
      </w:r>
    </w:p>
    <w:p w14:paraId="1605F8EB" w14:textId="503F8A12" w:rsidR="00643D69" w:rsidRPr="005A761E" w:rsidRDefault="00643D69" w:rsidP="001C0A79">
      <w:pPr>
        <w:pStyle w:val="BodyText"/>
        <w:jc w:val="both"/>
        <w:rPr>
          <w:b/>
          <w:bCs/>
          <w:sz w:val="21"/>
          <w:szCs w:val="21"/>
        </w:rPr>
      </w:pPr>
    </w:p>
    <w:p w14:paraId="72719C00" w14:textId="77777777" w:rsidR="001612CB" w:rsidRPr="005A761E" w:rsidRDefault="001612CB" w:rsidP="001C0A79">
      <w:pPr>
        <w:pStyle w:val="BodyText"/>
        <w:jc w:val="both"/>
        <w:rPr>
          <w:b/>
          <w:sz w:val="21"/>
          <w:szCs w:val="21"/>
        </w:rPr>
      </w:pPr>
    </w:p>
    <w:p w14:paraId="0F4D836C" w14:textId="77777777" w:rsidR="00F0333B" w:rsidRPr="005A761E" w:rsidRDefault="00F0333B" w:rsidP="001C0A79">
      <w:pPr>
        <w:pStyle w:val="BodyText"/>
        <w:jc w:val="both"/>
        <w:rPr>
          <w:b/>
          <w:sz w:val="21"/>
          <w:szCs w:val="21"/>
        </w:rPr>
      </w:pPr>
      <w:r w:rsidRPr="005A761E">
        <w:rPr>
          <w:b/>
          <w:sz w:val="21"/>
          <w:szCs w:val="21"/>
        </w:rPr>
        <w:t>History</w:t>
      </w:r>
    </w:p>
    <w:p w14:paraId="236EDDEE" w14:textId="5D150319" w:rsidR="003B2679" w:rsidRPr="005A761E" w:rsidRDefault="003B2679" w:rsidP="001C0A79">
      <w:pPr>
        <w:pStyle w:val="BodyText"/>
        <w:jc w:val="both"/>
        <w:rPr>
          <w:sz w:val="21"/>
          <w:szCs w:val="21"/>
        </w:rPr>
      </w:pPr>
      <w:r w:rsidRPr="005A761E">
        <w:rPr>
          <w:w w:val="105"/>
          <w:sz w:val="21"/>
          <w:szCs w:val="21"/>
        </w:rPr>
        <w:t>The Park View homestead is located on the east side of Deep Creek, north of Brennans Road</w:t>
      </w:r>
      <w:r w:rsidR="007C19FD" w:rsidRPr="005A761E">
        <w:rPr>
          <w:w w:val="105"/>
          <w:sz w:val="21"/>
          <w:szCs w:val="21"/>
        </w:rPr>
        <w:t xml:space="preserve"> </w:t>
      </w:r>
      <w:r w:rsidRPr="005A761E">
        <w:rPr>
          <w:spacing w:val="-53"/>
          <w:w w:val="105"/>
          <w:sz w:val="21"/>
          <w:szCs w:val="21"/>
        </w:rPr>
        <w:t xml:space="preserve"> </w:t>
      </w:r>
      <w:r w:rsidR="006153EF" w:rsidRPr="005A761E">
        <w:rPr>
          <w:spacing w:val="-53"/>
          <w:w w:val="105"/>
          <w:sz w:val="21"/>
          <w:szCs w:val="21"/>
        </w:rPr>
        <w:t xml:space="preserve"> </w:t>
      </w:r>
      <w:r w:rsidRPr="005A761E">
        <w:rPr>
          <w:w w:val="105"/>
          <w:sz w:val="21"/>
          <w:szCs w:val="21"/>
        </w:rPr>
        <w:t>East on</w:t>
      </w:r>
      <w:r w:rsidRPr="005A761E">
        <w:rPr>
          <w:spacing w:val="1"/>
          <w:w w:val="105"/>
          <w:sz w:val="21"/>
          <w:szCs w:val="21"/>
        </w:rPr>
        <w:t xml:space="preserve"> </w:t>
      </w:r>
      <w:r w:rsidRPr="005A761E">
        <w:rPr>
          <w:w w:val="105"/>
          <w:sz w:val="21"/>
          <w:szCs w:val="21"/>
        </w:rPr>
        <w:t>Lot 28D, Parish</w:t>
      </w:r>
      <w:r w:rsidRPr="005A761E">
        <w:rPr>
          <w:spacing w:val="2"/>
          <w:w w:val="105"/>
          <w:sz w:val="21"/>
          <w:szCs w:val="21"/>
        </w:rPr>
        <w:t xml:space="preserve"> </w:t>
      </w:r>
      <w:r w:rsidRPr="005A761E">
        <w:rPr>
          <w:w w:val="105"/>
          <w:sz w:val="21"/>
          <w:szCs w:val="21"/>
        </w:rPr>
        <w:t>of Linton.</w:t>
      </w:r>
    </w:p>
    <w:p w14:paraId="6F44A68F" w14:textId="77777777" w:rsidR="003B2679" w:rsidRPr="005A761E" w:rsidRDefault="003B2679" w:rsidP="001C0A79">
      <w:pPr>
        <w:pStyle w:val="BodyText"/>
        <w:jc w:val="both"/>
        <w:rPr>
          <w:sz w:val="21"/>
          <w:szCs w:val="21"/>
        </w:rPr>
      </w:pPr>
    </w:p>
    <w:p w14:paraId="5992A03A" w14:textId="5588FFB5" w:rsidR="00C365DC" w:rsidRPr="005A761E" w:rsidRDefault="003B2679" w:rsidP="001C0A79">
      <w:pPr>
        <w:pStyle w:val="BodyText"/>
        <w:jc w:val="both"/>
        <w:rPr>
          <w:strike/>
          <w:w w:val="105"/>
          <w:sz w:val="21"/>
          <w:szCs w:val="21"/>
        </w:rPr>
      </w:pPr>
      <w:r w:rsidRPr="005A761E">
        <w:rPr>
          <w:w w:val="105"/>
          <w:sz w:val="21"/>
          <w:szCs w:val="21"/>
        </w:rPr>
        <w:t>Thomas</w:t>
      </w:r>
      <w:r w:rsidRPr="005A761E">
        <w:rPr>
          <w:spacing w:val="5"/>
          <w:w w:val="105"/>
          <w:sz w:val="21"/>
          <w:szCs w:val="21"/>
        </w:rPr>
        <w:t xml:space="preserve"> </w:t>
      </w:r>
      <w:r w:rsidRPr="005A761E">
        <w:rPr>
          <w:w w:val="105"/>
          <w:sz w:val="21"/>
          <w:szCs w:val="21"/>
        </w:rPr>
        <w:t>and</w:t>
      </w:r>
      <w:r w:rsidRPr="005A761E">
        <w:rPr>
          <w:spacing w:val="6"/>
          <w:w w:val="105"/>
          <w:sz w:val="21"/>
          <w:szCs w:val="21"/>
        </w:rPr>
        <w:t xml:space="preserve"> </w:t>
      </w:r>
      <w:r w:rsidRPr="005A761E">
        <w:rPr>
          <w:w w:val="105"/>
          <w:sz w:val="21"/>
          <w:szCs w:val="21"/>
        </w:rPr>
        <w:t>Elizabeth</w:t>
      </w:r>
      <w:r w:rsidRPr="005A761E">
        <w:rPr>
          <w:spacing w:val="6"/>
          <w:w w:val="105"/>
          <w:sz w:val="21"/>
          <w:szCs w:val="21"/>
        </w:rPr>
        <w:t xml:space="preserve"> </w:t>
      </w:r>
      <w:r w:rsidRPr="005A761E">
        <w:rPr>
          <w:w w:val="105"/>
          <w:sz w:val="21"/>
          <w:szCs w:val="21"/>
        </w:rPr>
        <w:t>Anne</w:t>
      </w:r>
      <w:r w:rsidRPr="005A761E">
        <w:rPr>
          <w:spacing w:val="6"/>
          <w:w w:val="105"/>
          <w:sz w:val="21"/>
          <w:szCs w:val="21"/>
        </w:rPr>
        <w:t xml:space="preserve"> </w:t>
      </w:r>
      <w:r w:rsidRPr="005A761E">
        <w:rPr>
          <w:w w:val="105"/>
          <w:sz w:val="21"/>
          <w:szCs w:val="21"/>
        </w:rPr>
        <w:t>Murphy</w:t>
      </w:r>
      <w:r w:rsidRPr="005A761E">
        <w:rPr>
          <w:spacing w:val="5"/>
          <w:w w:val="105"/>
          <w:sz w:val="21"/>
          <w:szCs w:val="21"/>
        </w:rPr>
        <w:t xml:space="preserve"> </w:t>
      </w:r>
      <w:r w:rsidRPr="005A761E">
        <w:rPr>
          <w:w w:val="105"/>
          <w:sz w:val="21"/>
          <w:szCs w:val="21"/>
        </w:rPr>
        <w:t>migrated</w:t>
      </w:r>
      <w:r w:rsidRPr="005A761E">
        <w:rPr>
          <w:spacing w:val="6"/>
          <w:w w:val="105"/>
          <w:sz w:val="21"/>
          <w:szCs w:val="21"/>
        </w:rPr>
        <w:t xml:space="preserve"> </w:t>
      </w:r>
      <w:r w:rsidRPr="005A761E">
        <w:rPr>
          <w:w w:val="105"/>
          <w:sz w:val="21"/>
          <w:szCs w:val="21"/>
        </w:rPr>
        <w:t>from</w:t>
      </w:r>
      <w:r w:rsidRPr="005A761E">
        <w:rPr>
          <w:spacing w:val="7"/>
          <w:w w:val="105"/>
          <w:sz w:val="21"/>
          <w:szCs w:val="21"/>
        </w:rPr>
        <w:t xml:space="preserve"> </w:t>
      </w:r>
      <w:r w:rsidRPr="005A761E">
        <w:rPr>
          <w:w w:val="105"/>
          <w:sz w:val="21"/>
          <w:szCs w:val="21"/>
        </w:rPr>
        <w:t>County</w:t>
      </w:r>
      <w:r w:rsidRPr="005A761E">
        <w:rPr>
          <w:spacing w:val="6"/>
          <w:w w:val="105"/>
          <w:sz w:val="21"/>
          <w:szCs w:val="21"/>
        </w:rPr>
        <w:t xml:space="preserve"> </w:t>
      </w:r>
      <w:r w:rsidRPr="005A761E">
        <w:rPr>
          <w:w w:val="105"/>
          <w:sz w:val="21"/>
          <w:szCs w:val="21"/>
        </w:rPr>
        <w:t>Armagh</w:t>
      </w:r>
      <w:r w:rsidRPr="005A761E">
        <w:rPr>
          <w:spacing w:val="5"/>
          <w:w w:val="105"/>
          <w:sz w:val="21"/>
          <w:szCs w:val="21"/>
        </w:rPr>
        <w:t xml:space="preserve"> </w:t>
      </w:r>
      <w:r w:rsidR="00216F49" w:rsidRPr="005A761E">
        <w:rPr>
          <w:spacing w:val="5"/>
          <w:w w:val="105"/>
          <w:sz w:val="21"/>
          <w:szCs w:val="21"/>
        </w:rPr>
        <w:t xml:space="preserve">to Australia </w:t>
      </w:r>
      <w:r w:rsidRPr="005A761E">
        <w:rPr>
          <w:w w:val="105"/>
          <w:sz w:val="21"/>
          <w:szCs w:val="21"/>
        </w:rPr>
        <w:t>in</w:t>
      </w:r>
      <w:r w:rsidRPr="005A761E">
        <w:rPr>
          <w:spacing w:val="6"/>
          <w:w w:val="105"/>
          <w:sz w:val="21"/>
          <w:szCs w:val="21"/>
        </w:rPr>
        <w:t xml:space="preserve"> </w:t>
      </w:r>
      <w:r w:rsidRPr="005A761E">
        <w:rPr>
          <w:w w:val="105"/>
          <w:sz w:val="21"/>
          <w:szCs w:val="21"/>
        </w:rPr>
        <w:t>1856</w:t>
      </w:r>
      <w:r w:rsidRPr="005A761E">
        <w:rPr>
          <w:spacing w:val="6"/>
          <w:w w:val="105"/>
          <w:sz w:val="21"/>
          <w:szCs w:val="21"/>
        </w:rPr>
        <w:t xml:space="preserve"> </w:t>
      </w:r>
      <w:r w:rsidRPr="005A761E">
        <w:rPr>
          <w:w w:val="105"/>
          <w:sz w:val="21"/>
          <w:szCs w:val="21"/>
        </w:rPr>
        <w:t>with</w:t>
      </w:r>
      <w:r w:rsidRPr="005A761E">
        <w:rPr>
          <w:spacing w:val="6"/>
          <w:w w:val="105"/>
          <w:sz w:val="21"/>
          <w:szCs w:val="21"/>
        </w:rPr>
        <w:t xml:space="preserve"> </w:t>
      </w:r>
      <w:r w:rsidRPr="005A761E">
        <w:rPr>
          <w:w w:val="105"/>
          <w:sz w:val="21"/>
          <w:szCs w:val="21"/>
        </w:rPr>
        <w:t>three</w:t>
      </w:r>
      <w:r w:rsidRPr="005A761E">
        <w:rPr>
          <w:spacing w:val="1"/>
          <w:w w:val="105"/>
          <w:sz w:val="21"/>
          <w:szCs w:val="21"/>
        </w:rPr>
        <w:t xml:space="preserve"> </w:t>
      </w:r>
      <w:r w:rsidRPr="005A761E">
        <w:rPr>
          <w:w w:val="105"/>
          <w:sz w:val="21"/>
          <w:szCs w:val="21"/>
        </w:rPr>
        <w:t>children,</w:t>
      </w:r>
      <w:r w:rsidRPr="005A761E">
        <w:rPr>
          <w:spacing w:val="-1"/>
          <w:w w:val="105"/>
          <w:sz w:val="21"/>
          <w:szCs w:val="21"/>
        </w:rPr>
        <w:t xml:space="preserve"> </w:t>
      </w:r>
      <w:r w:rsidRPr="005A761E">
        <w:rPr>
          <w:w w:val="105"/>
          <w:sz w:val="21"/>
          <w:szCs w:val="21"/>
        </w:rPr>
        <w:t>William, Sarah</w:t>
      </w:r>
      <w:r w:rsidRPr="005A761E">
        <w:rPr>
          <w:spacing w:val="1"/>
          <w:w w:val="105"/>
          <w:sz w:val="21"/>
          <w:szCs w:val="21"/>
        </w:rPr>
        <w:t xml:space="preserve"> </w:t>
      </w:r>
      <w:r w:rsidRPr="005A761E">
        <w:rPr>
          <w:w w:val="105"/>
          <w:sz w:val="21"/>
          <w:szCs w:val="21"/>
        </w:rPr>
        <w:t>and</w:t>
      </w:r>
      <w:r w:rsidRPr="005A761E">
        <w:rPr>
          <w:spacing w:val="1"/>
          <w:w w:val="105"/>
          <w:sz w:val="21"/>
          <w:szCs w:val="21"/>
        </w:rPr>
        <w:t xml:space="preserve"> </w:t>
      </w:r>
      <w:r w:rsidRPr="005A761E">
        <w:rPr>
          <w:w w:val="105"/>
          <w:sz w:val="21"/>
          <w:szCs w:val="21"/>
        </w:rPr>
        <w:t>Thomas Jnr. They</w:t>
      </w:r>
      <w:r w:rsidRPr="005A761E">
        <w:rPr>
          <w:spacing w:val="1"/>
          <w:w w:val="105"/>
          <w:sz w:val="21"/>
          <w:szCs w:val="21"/>
        </w:rPr>
        <w:t xml:space="preserve"> </w:t>
      </w:r>
      <w:r w:rsidRPr="005A761E">
        <w:rPr>
          <w:w w:val="105"/>
          <w:sz w:val="21"/>
          <w:szCs w:val="21"/>
        </w:rPr>
        <w:t>farmed</w:t>
      </w:r>
      <w:r w:rsidRPr="005A761E">
        <w:rPr>
          <w:spacing w:val="1"/>
          <w:w w:val="105"/>
          <w:sz w:val="21"/>
          <w:szCs w:val="21"/>
        </w:rPr>
        <w:t xml:space="preserve"> </w:t>
      </w:r>
      <w:r w:rsidRPr="005A761E">
        <w:rPr>
          <w:w w:val="105"/>
          <w:sz w:val="21"/>
          <w:szCs w:val="21"/>
        </w:rPr>
        <w:t>first</w:t>
      </w:r>
      <w:r w:rsidRPr="005A761E">
        <w:rPr>
          <w:spacing w:val="-1"/>
          <w:w w:val="105"/>
          <w:sz w:val="21"/>
          <w:szCs w:val="21"/>
        </w:rPr>
        <w:t xml:space="preserve"> </w:t>
      </w:r>
      <w:r w:rsidRPr="005A761E">
        <w:rPr>
          <w:w w:val="105"/>
          <w:sz w:val="21"/>
          <w:szCs w:val="21"/>
        </w:rPr>
        <w:t>at Clifton</w:t>
      </w:r>
      <w:r w:rsidRPr="005A761E">
        <w:rPr>
          <w:spacing w:val="1"/>
          <w:w w:val="105"/>
          <w:sz w:val="21"/>
          <w:szCs w:val="21"/>
        </w:rPr>
        <w:t xml:space="preserve"> </w:t>
      </w:r>
      <w:r w:rsidRPr="005A761E">
        <w:rPr>
          <w:w w:val="105"/>
          <w:sz w:val="21"/>
          <w:szCs w:val="21"/>
        </w:rPr>
        <w:t>Hill, followed by</w:t>
      </w:r>
      <w:r w:rsidRPr="005A761E">
        <w:rPr>
          <w:spacing w:val="1"/>
          <w:w w:val="105"/>
          <w:sz w:val="21"/>
          <w:szCs w:val="21"/>
        </w:rPr>
        <w:t xml:space="preserve"> </w:t>
      </w:r>
      <w:r w:rsidRPr="005A761E">
        <w:rPr>
          <w:w w:val="105"/>
          <w:sz w:val="21"/>
          <w:szCs w:val="21"/>
        </w:rPr>
        <w:t>dairying</w:t>
      </w:r>
      <w:r w:rsidRPr="005A761E">
        <w:rPr>
          <w:spacing w:val="1"/>
          <w:w w:val="105"/>
          <w:sz w:val="21"/>
          <w:szCs w:val="21"/>
        </w:rPr>
        <w:t xml:space="preserve"> </w:t>
      </w:r>
      <w:r w:rsidRPr="005A761E">
        <w:rPr>
          <w:w w:val="105"/>
          <w:sz w:val="21"/>
          <w:szCs w:val="21"/>
        </w:rPr>
        <w:t xml:space="preserve">at Somerton. </w:t>
      </w:r>
      <w:r w:rsidR="0082705D" w:rsidRPr="005A761E">
        <w:rPr>
          <w:w w:val="105"/>
          <w:sz w:val="21"/>
          <w:szCs w:val="21"/>
        </w:rPr>
        <w:t xml:space="preserve">Information provided by </w:t>
      </w:r>
      <w:r w:rsidR="002041AC" w:rsidRPr="005A761E">
        <w:rPr>
          <w:w w:val="105"/>
          <w:sz w:val="21"/>
          <w:szCs w:val="21"/>
        </w:rPr>
        <w:t>J</w:t>
      </w:r>
      <w:r w:rsidR="00A34F4C" w:rsidRPr="005A761E">
        <w:rPr>
          <w:w w:val="105"/>
          <w:sz w:val="21"/>
          <w:szCs w:val="21"/>
        </w:rPr>
        <w:t xml:space="preserve">ames T Murphy, Thomas Murphy’s descendant, indicated that the Murphys </w:t>
      </w:r>
      <w:r w:rsidR="00574F6B" w:rsidRPr="005A761E">
        <w:rPr>
          <w:w w:val="105"/>
          <w:sz w:val="21"/>
          <w:szCs w:val="21"/>
        </w:rPr>
        <w:t xml:space="preserve">had moved to </w:t>
      </w:r>
      <w:r w:rsidR="005D0739" w:rsidRPr="005A761E">
        <w:rPr>
          <w:w w:val="105"/>
          <w:sz w:val="21"/>
          <w:szCs w:val="21"/>
        </w:rPr>
        <w:t>Arthurs Creek</w:t>
      </w:r>
      <w:r w:rsidRPr="005A761E">
        <w:rPr>
          <w:w w:val="105"/>
          <w:sz w:val="21"/>
          <w:szCs w:val="21"/>
        </w:rPr>
        <w:t xml:space="preserve"> </w:t>
      </w:r>
      <w:r w:rsidR="00216F49" w:rsidRPr="005A761E">
        <w:rPr>
          <w:w w:val="105"/>
          <w:sz w:val="21"/>
          <w:szCs w:val="21"/>
        </w:rPr>
        <w:t xml:space="preserve">in </w:t>
      </w:r>
      <w:r w:rsidR="00A055E4" w:rsidRPr="005A761E">
        <w:rPr>
          <w:w w:val="105"/>
          <w:sz w:val="21"/>
          <w:szCs w:val="21"/>
        </w:rPr>
        <w:t>1864 and purportedly</w:t>
      </w:r>
      <w:r w:rsidRPr="005A761E">
        <w:rPr>
          <w:w w:val="105"/>
          <w:sz w:val="21"/>
          <w:szCs w:val="21"/>
        </w:rPr>
        <w:t xml:space="preserve"> settled in Arthurs Creek (Payne 1975, p.79).</w:t>
      </w:r>
      <w:r w:rsidR="005F43E4" w:rsidRPr="005A761E">
        <w:rPr>
          <w:w w:val="105"/>
          <w:sz w:val="21"/>
          <w:szCs w:val="21"/>
        </w:rPr>
        <w:t xml:space="preserve"> </w:t>
      </w:r>
      <w:r w:rsidRPr="005A761E">
        <w:rPr>
          <w:w w:val="105"/>
          <w:sz w:val="21"/>
          <w:szCs w:val="21"/>
        </w:rPr>
        <w:t>In 1867 Thomas Murphy applied for a Section 42 occupation</w:t>
      </w:r>
      <w:r w:rsidRPr="00671ECB">
        <w:rPr>
          <w:w w:val="105"/>
          <w:sz w:val="21"/>
          <w:szCs w:val="21"/>
          <w:lang w:val="en-AU"/>
        </w:rPr>
        <w:t xml:space="preserve"> licence</w:t>
      </w:r>
      <w:r w:rsidRPr="005A761E">
        <w:rPr>
          <w:w w:val="105"/>
          <w:sz w:val="21"/>
          <w:szCs w:val="21"/>
        </w:rPr>
        <w:t xml:space="preserve"> for the 80</w:t>
      </w:r>
      <w:r w:rsidR="00381B24" w:rsidRPr="005A761E">
        <w:rPr>
          <w:w w:val="105"/>
          <w:sz w:val="21"/>
          <w:szCs w:val="21"/>
        </w:rPr>
        <w:t>-</w:t>
      </w:r>
      <w:r w:rsidRPr="005A761E">
        <w:rPr>
          <w:w w:val="105"/>
          <w:sz w:val="21"/>
          <w:szCs w:val="21"/>
        </w:rPr>
        <w:t>acre Lot 28E</w:t>
      </w:r>
      <w:r w:rsidR="00C74540" w:rsidRPr="005A761E">
        <w:rPr>
          <w:w w:val="105"/>
          <w:sz w:val="21"/>
          <w:szCs w:val="21"/>
        </w:rPr>
        <w:t xml:space="preserve"> (</w:t>
      </w:r>
      <w:r w:rsidR="00C74540" w:rsidRPr="005A761E">
        <w:rPr>
          <w:i/>
          <w:iCs/>
          <w:w w:val="105"/>
          <w:sz w:val="21"/>
          <w:szCs w:val="21"/>
        </w:rPr>
        <w:t>Argus</w:t>
      </w:r>
      <w:r w:rsidR="00C74540" w:rsidRPr="005A761E">
        <w:rPr>
          <w:w w:val="105"/>
          <w:sz w:val="21"/>
          <w:szCs w:val="21"/>
        </w:rPr>
        <w:t>, 28 June 1867:3</w:t>
      </w:r>
      <w:r w:rsidR="003B0CCB" w:rsidRPr="005A761E">
        <w:rPr>
          <w:w w:val="105"/>
          <w:sz w:val="21"/>
          <w:szCs w:val="21"/>
        </w:rPr>
        <w:t>)</w:t>
      </w:r>
      <w:r w:rsidR="00112E6D" w:rsidRPr="005A761E">
        <w:rPr>
          <w:w w:val="105"/>
          <w:sz w:val="21"/>
          <w:szCs w:val="21"/>
        </w:rPr>
        <w:t>. Thomas’s</w:t>
      </w:r>
      <w:r w:rsidR="00CE1BE7" w:rsidRPr="005A761E">
        <w:rPr>
          <w:w w:val="105"/>
          <w:sz w:val="21"/>
          <w:szCs w:val="21"/>
        </w:rPr>
        <w:t xml:space="preserve"> daughter, Sarah, applied for an occupation license under Section 42 for Lot 28D and Lot</w:t>
      </w:r>
      <w:r w:rsidR="00CE1BE7" w:rsidRPr="005A761E">
        <w:rPr>
          <w:spacing w:val="1"/>
          <w:w w:val="105"/>
          <w:sz w:val="21"/>
          <w:szCs w:val="21"/>
        </w:rPr>
        <w:t xml:space="preserve"> </w:t>
      </w:r>
      <w:r w:rsidR="00CE1BE7" w:rsidRPr="005A761E">
        <w:rPr>
          <w:w w:val="105"/>
          <w:sz w:val="21"/>
          <w:szCs w:val="21"/>
        </w:rPr>
        <w:t>27C combined 57 acres, was approved in 1869 (</w:t>
      </w:r>
      <w:r w:rsidR="00CE1BE7" w:rsidRPr="005A761E">
        <w:rPr>
          <w:i/>
          <w:w w:val="105"/>
          <w:sz w:val="21"/>
          <w:szCs w:val="21"/>
        </w:rPr>
        <w:t>Argus</w:t>
      </w:r>
      <w:r w:rsidR="00CE1BE7" w:rsidRPr="005A761E">
        <w:rPr>
          <w:w w:val="105"/>
          <w:sz w:val="21"/>
          <w:szCs w:val="21"/>
        </w:rPr>
        <w:t xml:space="preserve">, 4 November 1869:1; </w:t>
      </w:r>
      <w:r w:rsidR="00CE1BE7" w:rsidRPr="005A761E">
        <w:rPr>
          <w:i/>
          <w:w w:val="105"/>
          <w:sz w:val="21"/>
          <w:szCs w:val="21"/>
        </w:rPr>
        <w:t>Illustrated Australian News for Home Readers</w:t>
      </w:r>
      <w:r w:rsidR="00CE1BE7" w:rsidRPr="005A761E">
        <w:rPr>
          <w:w w:val="105"/>
          <w:sz w:val="21"/>
          <w:szCs w:val="21"/>
        </w:rPr>
        <w:t>, 4 November 1869:1). Up until January 1875 she resided with her</w:t>
      </w:r>
      <w:r w:rsidR="00CE1BE7" w:rsidRPr="005A761E">
        <w:rPr>
          <w:spacing w:val="1"/>
          <w:w w:val="105"/>
          <w:sz w:val="21"/>
          <w:szCs w:val="21"/>
        </w:rPr>
        <w:t xml:space="preserve"> </w:t>
      </w:r>
      <w:r w:rsidR="00CE1BE7" w:rsidRPr="005A761E">
        <w:rPr>
          <w:w w:val="105"/>
          <w:sz w:val="21"/>
          <w:szCs w:val="21"/>
        </w:rPr>
        <w:t>father on his adjoining land, Lot 28E. In 1875 when she applied to purchase 28D and 27C, she</w:t>
      </w:r>
      <w:r w:rsidR="000A58CC" w:rsidRPr="005A761E">
        <w:rPr>
          <w:w w:val="105"/>
          <w:sz w:val="21"/>
          <w:szCs w:val="21"/>
        </w:rPr>
        <w:t xml:space="preserve"> had</w:t>
      </w:r>
      <w:r w:rsidR="00CE1BE7" w:rsidRPr="005A761E">
        <w:rPr>
          <w:w w:val="105"/>
          <w:sz w:val="21"/>
          <w:szCs w:val="21"/>
        </w:rPr>
        <w:t xml:space="preserve"> recently married Edward Bunker and had gone to live with him on his selection on the</w:t>
      </w:r>
      <w:r w:rsidR="00CE1BE7" w:rsidRPr="005A761E">
        <w:rPr>
          <w:spacing w:val="1"/>
          <w:w w:val="105"/>
          <w:sz w:val="21"/>
          <w:szCs w:val="21"/>
        </w:rPr>
        <w:t xml:space="preserve"> </w:t>
      </w:r>
      <w:r w:rsidR="00CE1BE7" w:rsidRPr="005A761E">
        <w:rPr>
          <w:w w:val="105"/>
          <w:sz w:val="21"/>
          <w:szCs w:val="21"/>
        </w:rPr>
        <w:t>Yarra River near Kangaroo Ground.</w:t>
      </w:r>
      <w:r w:rsidR="00CE1BE7" w:rsidRPr="005A761E">
        <w:rPr>
          <w:spacing w:val="1"/>
          <w:w w:val="105"/>
          <w:sz w:val="21"/>
          <w:szCs w:val="21"/>
        </w:rPr>
        <w:t xml:space="preserve"> </w:t>
      </w:r>
      <w:r w:rsidR="00CE1BE7" w:rsidRPr="005A761E">
        <w:rPr>
          <w:w w:val="105"/>
          <w:sz w:val="21"/>
          <w:szCs w:val="21"/>
        </w:rPr>
        <w:t xml:space="preserve">Lots 28D and 27C were at this stage heavily timbered and contained no buildings. The Queenstown constable who examined the holding for the Lands Department believed </w:t>
      </w:r>
      <w:r w:rsidR="00671ECB" w:rsidRPr="005A761E">
        <w:rPr>
          <w:w w:val="105"/>
          <w:sz w:val="21"/>
          <w:szCs w:val="21"/>
        </w:rPr>
        <w:t xml:space="preserve">that </w:t>
      </w:r>
      <w:r w:rsidR="00671ECB" w:rsidRPr="005A761E">
        <w:rPr>
          <w:spacing w:val="-53"/>
          <w:w w:val="105"/>
          <w:sz w:val="21"/>
          <w:szCs w:val="21"/>
        </w:rPr>
        <w:t>Sarah’s</w:t>
      </w:r>
      <w:r w:rsidR="00CE1BE7" w:rsidRPr="005A761E">
        <w:rPr>
          <w:w w:val="105"/>
          <w:sz w:val="21"/>
          <w:szCs w:val="21"/>
        </w:rPr>
        <w:t xml:space="preserve"> </w:t>
      </w:r>
      <w:r w:rsidR="00671ECB" w:rsidRPr="005A761E">
        <w:rPr>
          <w:w w:val="105"/>
          <w:sz w:val="21"/>
          <w:szCs w:val="21"/>
        </w:rPr>
        <w:t>father, was</w:t>
      </w:r>
      <w:r w:rsidR="00CE1BE7" w:rsidRPr="005A761E">
        <w:rPr>
          <w:w w:val="105"/>
          <w:sz w:val="21"/>
          <w:szCs w:val="21"/>
        </w:rPr>
        <w:t xml:space="preserve"> working the land. Sarah obtained freehold under Section 31 in 1876, under</w:t>
      </w:r>
      <w:r w:rsidR="00CE1BE7" w:rsidRPr="005A761E">
        <w:rPr>
          <w:spacing w:val="1"/>
          <w:w w:val="105"/>
          <w:sz w:val="21"/>
          <w:szCs w:val="21"/>
        </w:rPr>
        <w:t xml:space="preserve"> </w:t>
      </w:r>
      <w:r w:rsidR="00CE1BE7" w:rsidRPr="005A761E">
        <w:rPr>
          <w:w w:val="105"/>
          <w:sz w:val="21"/>
          <w:szCs w:val="21"/>
        </w:rPr>
        <w:t>the name Sarah</w:t>
      </w:r>
      <w:r w:rsidR="00CE1BE7" w:rsidRPr="005A761E">
        <w:rPr>
          <w:spacing w:val="1"/>
          <w:w w:val="105"/>
          <w:sz w:val="21"/>
          <w:szCs w:val="21"/>
        </w:rPr>
        <w:t xml:space="preserve"> </w:t>
      </w:r>
      <w:r w:rsidR="00CE1BE7" w:rsidRPr="005A761E">
        <w:rPr>
          <w:w w:val="105"/>
          <w:sz w:val="21"/>
          <w:szCs w:val="21"/>
        </w:rPr>
        <w:t>Bunker (PROV, VPRS 627/P0, 19301).</w:t>
      </w:r>
      <w:r w:rsidR="00CE1BE7" w:rsidRPr="005A761E">
        <w:rPr>
          <w:spacing w:val="1"/>
          <w:w w:val="105"/>
          <w:sz w:val="21"/>
          <w:szCs w:val="21"/>
        </w:rPr>
        <w:t xml:space="preserve"> </w:t>
      </w:r>
      <w:r w:rsidR="00CE1BE7" w:rsidRPr="005A761E">
        <w:rPr>
          <w:w w:val="105"/>
          <w:sz w:val="21"/>
          <w:szCs w:val="21"/>
        </w:rPr>
        <w:t>This land</w:t>
      </w:r>
      <w:r w:rsidR="00CE1BE7" w:rsidRPr="005A761E">
        <w:rPr>
          <w:spacing w:val="1"/>
          <w:w w:val="105"/>
          <w:sz w:val="21"/>
          <w:szCs w:val="21"/>
        </w:rPr>
        <w:t xml:space="preserve"> </w:t>
      </w:r>
      <w:r w:rsidR="00CE1BE7" w:rsidRPr="005A761E">
        <w:rPr>
          <w:w w:val="105"/>
          <w:sz w:val="21"/>
          <w:szCs w:val="21"/>
        </w:rPr>
        <w:t>was transferred to</w:t>
      </w:r>
      <w:r w:rsidR="00CE1BE7" w:rsidRPr="005A761E">
        <w:rPr>
          <w:spacing w:val="1"/>
          <w:w w:val="105"/>
          <w:sz w:val="21"/>
          <w:szCs w:val="21"/>
        </w:rPr>
        <w:t xml:space="preserve"> </w:t>
      </w:r>
      <w:r w:rsidR="00CE1BE7" w:rsidRPr="005A761E">
        <w:rPr>
          <w:w w:val="105"/>
          <w:sz w:val="21"/>
          <w:szCs w:val="21"/>
        </w:rPr>
        <w:t>Thomas Murphy in</w:t>
      </w:r>
      <w:r w:rsidR="00CE1BE7" w:rsidRPr="005A761E">
        <w:rPr>
          <w:spacing w:val="1"/>
          <w:w w:val="105"/>
          <w:sz w:val="21"/>
          <w:szCs w:val="21"/>
        </w:rPr>
        <w:t xml:space="preserve"> </w:t>
      </w:r>
      <w:r w:rsidR="00CE1BE7" w:rsidRPr="005A761E">
        <w:rPr>
          <w:w w:val="105"/>
          <w:sz w:val="21"/>
          <w:szCs w:val="21"/>
        </w:rPr>
        <w:t>1877(CT: V969 F636</w:t>
      </w:r>
      <w:r w:rsidR="0031417F" w:rsidRPr="005A761E">
        <w:rPr>
          <w:w w:val="105"/>
          <w:sz w:val="21"/>
          <w:szCs w:val="21"/>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0"/>
      </w:tblGrid>
      <w:tr w:rsidR="00A378F7" w14:paraId="5CCB8817" w14:textId="77777777" w:rsidTr="4B732890">
        <w:tc>
          <w:tcPr>
            <w:tcW w:w="9020" w:type="dxa"/>
          </w:tcPr>
          <w:p w14:paraId="62972DF9" w14:textId="4864E324" w:rsidR="00A378F7" w:rsidRDefault="00A743BB" w:rsidP="4B732890">
            <w:pPr>
              <w:pStyle w:val="BodyText"/>
              <w:jc w:val="both"/>
              <w:rPr>
                <w:w w:val="105"/>
                <w:sz w:val="19"/>
                <w:szCs w:val="19"/>
              </w:rPr>
            </w:pPr>
            <w:r>
              <w:rPr>
                <w:noProof/>
                <w:lang w:val="en-AU" w:eastAsia="en-AU"/>
              </w:rPr>
              <w:lastRenderedPageBreak/>
              <mc:AlternateContent>
                <mc:Choice Requires="wps">
                  <w:drawing>
                    <wp:anchor distT="0" distB="0" distL="114300" distR="114300" simplePos="0" relativeHeight="251658241" behindDoc="0" locked="0" layoutInCell="1" allowOverlap="1" wp14:anchorId="616ABD2F" wp14:editId="33723205">
                      <wp:simplePos x="0" y="0"/>
                      <wp:positionH relativeFrom="column">
                        <wp:posOffset>927141</wp:posOffset>
                      </wp:positionH>
                      <wp:positionV relativeFrom="paragraph">
                        <wp:posOffset>1281061</wp:posOffset>
                      </wp:positionV>
                      <wp:extent cx="2131996" cy="871087"/>
                      <wp:effectExtent l="19050" t="19050" r="20955" b="24765"/>
                      <wp:wrapNone/>
                      <wp:docPr id="11" name="Oval 11"/>
                      <wp:cNvGraphicFramePr/>
                      <a:graphic xmlns:a="http://schemas.openxmlformats.org/drawingml/2006/main">
                        <a:graphicData uri="http://schemas.microsoft.com/office/word/2010/wordprocessingShape">
                          <wps:wsp>
                            <wps:cNvSpPr/>
                            <wps:spPr>
                              <a:xfrm>
                                <a:off x="0" y="0"/>
                                <a:ext cx="2131996" cy="871087"/>
                              </a:xfrm>
                              <a:prstGeom prst="ellipse">
                                <a:avLst/>
                              </a:prstGeom>
                              <a:noFill/>
                              <a:ln w="28575">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1="http://schemas.microsoft.com/office/drawing/2015/9/8/chartex" xmlns:a14="http://schemas.microsoft.com/office/drawing/2010/main" xmlns:pic="http://schemas.openxmlformats.org/drawingml/2006/picture"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6D7894C2">
                    <v:oval id="Oval 11" style="position:absolute;margin-left:73pt;margin-top:100.85pt;width:167.85pt;height:68.6pt;z-index:251658241;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yellow" strokeweight="2.25pt" w14:anchorId="351998A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">
                      <v:stroke joinstyle="miter"/>
                    </v:oval>
                  </w:pict>
                </mc:Fallback>
              </mc:AlternateContent>
            </w:r>
            <w:r>
              <w:rPr>
                <w:noProof/>
                <w:lang w:val="en-AU" w:eastAsia="en-AU"/>
              </w:rPr>
              <w:drawing>
                <wp:inline distT="0" distB="0" distL="0" distR="0" wp14:anchorId="20589580" wp14:editId="36F5787B">
                  <wp:extent cx="5524902" cy="3695753"/>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23752" t="17122" r="1965" b="8343"/>
                          <a:stretch/>
                        </pic:blipFill>
                        <pic:spPr bwMode="auto">
                          <a:xfrm>
                            <a:off x="0" y="0"/>
                            <a:ext cx="5529358" cy="3698734"/>
                          </a:xfrm>
                          <a:prstGeom prst="rect">
                            <a:avLst/>
                          </a:prstGeom>
                          <a:ln>
                            <a:noFill/>
                          </a:ln>
                          <a:extLst>
                            <a:ext uri="{53640926-AAD7-44D8-BBD7-CCE9431645EC}">
                              <a14:shadowObscured xmlns:a14="http://schemas.microsoft.com/office/drawing/2010/main"/>
                            </a:ext>
                          </a:extLst>
                        </pic:spPr>
                      </pic:pic>
                    </a:graphicData>
                  </a:graphic>
                </wp:inline>
              </w:drawing>
            </w:r>
          </w:p>
        </w:tc>
      </w:tr>
      <w:tr w:rsidR="00A378F7" w14:paraId="74DC388C" w14:textId="77777777" w:rsidTr="4B732890">
        <w:tc>
          <w:tcPr>
            <w:tcW w:w="9020" w:type="dxa"/>
          </w:tcPr>
          <w:p w14:paraId="0730C402" w14:textId="56886FD4" w:rsidR="00A378F7" w:rsidRPr="005A0A59" w:rsidRDefault="45A867B7" w:rsidP="4B732890">
            <w:pPr>
              <w:pStyle w:val="Caption"/>
              <w:ind w:left="0"/>
              <w:rPr>
                <w:rFonts w:ascii="Arial" w:hAnsi="Arial"/>
                <w:i w:val="0"/>
              </w:rPr>
            </w:pPr>
            <w:r w:rsidRPr="4B732890">
              <w:rPr>
                <w:rFonts w:ascii="Arial" w:hAnsi="Arial"/>
                <w:i w:val="0"/>
              </w:rPr>
              <w:t xml:space="preserve">Figure </w:t>
            </w:r>
            <w:r w:rsidR="00B764D6" w:rsidRPr="4B732890">
              <w:rPr>
                <w:rFonts w:ascii="Arial" w:hAnsi="Arial"/>
              </w:rPr>
              <w:fldChar w:fldCharType="begin"/>
            </w:r>
            <w:r w:rsidR="00B764D6" w:rsidRPr="4B732890">
              <w:rPr>
                <w:rFonts w:ascii="Arial" w:hAnsi="Arial"/>
              </w:rPr>
              <w:instrText xml:space="preserve"> SEQ Figure \* ARABIC </w:instrText>
            </w:r>
            <w:r w:rsidR="00B764D6" w:rsidRPr="4B732890">
              <w:rPr>
                <w:rFonts w:ascii="Arial" w:hAnsi="Arial"/>
              </w:rPr>
              <w:fldChar w:fldCharType="separate"/>
            </w:r>
            <w:r w:rsidR="005A0A59" w:rsidRPr="4B732890">
              <w:rPr>
                <w:rFonts w:ascii="Arial" w:hAnsi="Arial"/>
              </w:rPr>
              <w:t>1</w:t>
            </w:r>
            <w:r w:rsidR="00B764D6" w:rsidRPr="4B732890">
              <w:rPr>
                <w:rFonts w:ascii="Arial" w:hAnsi="Arial"/>
              </w:rPr>
              <w:fldChar w:fldCharType="end"/>
            </w:r>
            <w:r w:rsidRPr="4B732890">
              <w:rPr>
                <w:rFonts w:ascii="Arial" w:hAnsi="Arial"/>
                <w:i w:val="0"/>
              </w:rPr>
              <w:t xml:space="preserve">: </w:t>
            </w:r>
            <w:r w:rsidR="193EDBF3" w:rsidRPr="4B732890">
              <w:rPr>
                <w:rFonts w:ascii="Arial" w:hAnsi="Arial"/>
                <w:i w:val="0"/>
              </w:rPr>
              <w:t>Country Lands in the Parish of Linton adjoining the Yan Yean Reservoir’, 185</w:t>
            </w:r>
            <w:r w:rsidR="417F162B" w:rsidRPr="4B732890">
              <w:rPr>
                <w:rFonts w:ascii="Arial" w:hAnsi="Arial"/>
                <w:i w:val="0"/>
              </w:rPr>
              <w:t>7.</w:t>
            </w:r>
            <w:r w:rsidR="0DDAACD4" w:rsidRPr="4B732890">
              <w:rPr>
                <w:rFonts w:ascii="Arial" w:hAnsi="Arial"/>
                <w:i w:val="0"/>
              </w:rPr>
              <w:t xml:space="preserve"> Lot 28 D </w:t>
            </w:r>
            <w:r w:rsidR="00B77D2E" w:rsidRPr="4B732890">
              <w:rPr>
                <w:rFonts w:ascii="Arial" w:hAnsi="Arial"/>
                <w:i w:val="0"/>
              </w:rPr>
              <w:t xml:space="preserve">is indicated with a circle. </w:t>
            </w:r>
            <w:r w:rsidR="417F162B" w:rsidRPr="4B732890">
              <w:rPr>
                <w:rFonts w:ascii="Arial" w:hAnsi="Arial"/>
                <w:i w:val="0"/>
              </w:rPr>
              <w:t xml:space="preserve"> Source: PROV, </w:t>
            </w:r>
            <w:r w:rsidRPr="4B732890">
              <w:rPr>
                <w:rFonts w:ascii="Arial" w:hAnsi="Arial"/>
                <w:i w:val="0"/>
              </w:rPr>
              <w:t xml:space="preserve">VPRS16171/1/6, Linton-2(Psh) LOImpL3000-2. </w:t>
            </w:r>
          </w:p>
        </w:tc>
      </w:tr>
    </w:tbl>
    <w:p w14:paraId="7A9AF5D0" w14:textId="6BDC5134" w:rsidR="002A0762" w:rsidRPr="00B77D2E" w:rsidRDefault="002A0762" w:rsidP="00B77D2E">
      <w:pPr>
        <w:tabs>
          <w:tab w:val="left" w:pos="5912"/>
        </w:tabs>
        <w:rPr>
          <w:rFonts w:eastAsia="Arial" w:cs="Arial"/>
          <w:w w:val="105"/>
          <w:sz w:val="19"/>
          <w:lang w:val="en-US"/>
        </w:rPr>
      </w:pPr>
      <w:r>
        <w:rPr>
          <w:rFonts w:eastAsia="Arial" w:cs="Arial"/>
          <w:w w:val="105"/>
          <w:sz w:val="19"/>
          <w:lang w:val="en-US"/>
        </w:rPr>
        <w:tab/>
      </w:r>
    </w:p>
    <w:p w14:paraId="5A919909" w14:textId="3ED5CCBD" w:rsidR="002A0762" w:rsidRPr="005A761E" w:rsidRDefault="002A0762" w:rsidP="00B803B9">
      <w:pPr>
        <w:pStyle w:val="BodyText"/>
        <w:jc w:val="both"/>
        <w:rPr>
          <w:w w:val="105"/>
          <w:sz w:val="21"/>
          <w:szCs w:val="21"/>
        </w:rPr>
      </w:pPr>
      <w:r w:rsidRPr="005A761E">
        <w:rPr>
          <w:w w:val="105"/>
          <w:sz w:val="21"/>
          <w:szCs w:val="21"/>
        </w:rPr>
        <w:t>When Thomas Murphy died in 1886, the block made up of the north part of Lot 28D and Lot</w:t>
      </w:r>
      <w:r w:rsidRPr="005A761E">
        <w:rPr>
          <w:spacing w:val="1"/>
          <w:w w:val="105"/>
          <w:sz w:val="21"/>
          <w:szCs w:val="21"/>
        </w:rPr>
        <w:t xml:space="preserve"> </w:t>
      </w:r>
      <w:r w:rsidRPr="005A761E">
        <w:rPr>
          <w:w w:val="105"/>
          <w:sz w:val="21"/>
          <w:szCs w:val="21"/>
        </w:rPr>
        <w:t>27G was unimproved apart from some fencing</w:t>
      </w:r>
      <w:r w:rsidR="00101077" w:rsidRPr="005A761E">
        <w:rPr>
          <w:w w:val="105"/>
          <w:sz w:val="21"/>
          <w:szCs w:val="21"/>
        </w:rPr>
        <w:t xml:space="preserve"> (</w:t>
      </w:r>
      <w:r w:rsidR="00101077" w:rsidRPr="005A761E">
        <w:rPr>
          <w:i/>
          <w:iCs/>
          <w:w w:val="105"/>
          <w:sz w:val="21"/>
          <w:szCs w:val="21"/>
        </w:rPr>
        <w:t>Argus</w:t>
      </w:r>
      <w:r w:rsidR="00101077" w:rsidRPr="005A761E">
        <w:rPr>
          <w:w w:val="105"/>
          <w:sz w:val="21"/>
          <w:szCs w:val="21"/>
        </w:rPr>
        <w:t>, 30 April 1886:1, PROV, VPRS 28/P2, 32/171)</w:t>
      </w:r>
      <w:r w:rsidRPr="005A761E">
        <w:rPr>
          <w:w w:val="105"/>
          <w:sz w:val="21"/>
          <w:szCs w:val="21"/>
        </w:rPr>
        <w:t>.</w:t>
      </w:r>
      <w:r w:rsidRPr="005A761E">
        <w:rPr>
          <w:spacing w:val="1"/>
          <w:w w:val="105"/>
          <w:sz w:val="21"/>
          <w:szCs w:val="21"/>
        </w:rPr>
        <w:t xml:space="preserve"> </w:t>
      </w:r>
      <w:r w:rsidRPr="005A761E">
        <w:rPr>
          <w:w w:val="105"/>
          <w:sz w:val="21"/>
          <w:szCs w:val="21"/>
        </w:rPr>
        <w:t>Ownership of this 30-acre block was</w:t>
      </w:r>
      <w:r w:rsidRPr="005A761E">
        <w:rPr>
          <w:spacing w:val="1"/>
          <w:w w:val="105"/>
          <w:sz w:val="21"/>
          <w:szCs w:val="21"/>
        </w:rPr>
        <w:t xml:space="preserve"> </w:t>
      </w:r>
      <w:r w:rsidRPr="005A761E">
        <w:rPr>
          <w:w w:val="105"/>
          <w:sz w:val="21"/>
          <w:szCs w:val="21"/>
        </w:rPr>
        <w:t xml:space="preserve">transferred from the estate of Thomas Murphy to David Murphy in 1889 (CT: V969 F636; </w:t>
      </w:r>
      <w:r w:rsidR="00671ECB" w:rsidRPr="005A761E">
        <w:rPr>
          <w:w w:val="105"/>
          <w:sz w:val="21"/>
          <w:szCs w:val="21"/>
        </w:rPr>
        <w:t>CT: V</w:t>
      </w:r>
      <w:r w:rsidRPr="005A761E">
        <w:rPr>
          <w:w w:val="105"/>
          <w:sz w:val="21"/>
          <w:szCs w:val="21"/>
        </w:rPr>
        <w:t>2194F714). David returned to</w:t>
      </w:r>
      <w:r w:rsidRPr="005A761E">
        <w:rPr>
          <w:spacing w:val="1"/>
          <w:w w:val="105"/>
          <w:sz w:val="21"/>
          <w:szCs w:val="21"/>
        </w:rPr>
        <w:t xml:space="preserve"> </w:t>
      </w:r>
      <w:r w:rsidRPr="005A761E">
        <w:rPr>
          <w:w w:val="105"/>
          <w:sz w:val="21"/>
          <w:szCs w:val="21"/>
        </w:rPr>
        <w:t>Arthurs Creek c1889 and married Christina Mann, a daughter of the</w:t>
      </w:r>
      <w:r w:rsidRPr="00671ECB">
        <w:rPr>
          <w:w w:val="105"/>
          <w:sz w:val="21"/>
          <w:szCs w:val="21"/>
          <w:lang w:val="en-AU"/>
        </w:rPr>
        <w:t xml:space="preserve"> neighbouring</w:t>
      </w:r>
      <w:r w:rsidRPr="005A761E">
        <w:rPr>
          <w:w w:val="105"/>
          <w:sz w:val="21"/>
          <w:szCs w:val="21"/>
        </w:rPr>
        <w:t xml:space="preserve"> Mann family,</w:t>
      </w:r>
      <w:r w:rsidRPr="005A761E">
        <w:rPr>
          <w:spacing w:val="-53"/>
          <w:w w:val="105"/>
          <w:sz w:val="21"/>
          <w:szCs w:val="21"/>
        </w:rPr>
        <w:t xml:space="preserve"> </w:t>
      </w:r>
      <w:r w:rsidRPr="005A761E">
        <w:rPr>
          <w:w w:val="105"/>
          <w:sz w:val="21"/>
          <w:szCs w:val="21"/>
        </w:rPr>
        <w:t>in 1890. The Park View homestead was probably built around this time (</w:t>
      </w:r>
      <w:r w:rsidRPr="005A761E">
        <w:rPr>
          <w:i/>
          <w:w w:val="105"/>
          <w:sz w:val="21"/>
          <w:szCs w:val="21"/>
        </w:rPr>
        <w:t xml:space="preserve">EO&amp;S&amp;EBR, </w:t>
      </w:r>
      <w:r w:rsidRPr="005A761E">
        <w:rPr>
          <w:iCs/>
          <w:w w:val="105"/>
          <w:sz w:val="21"/>
          <w:szCs w:val="21"/>
        </w:rPr>
        <w:t>19 December 1890:3)</w:t>
      </w:r>
      <w:r w:rsidRPr="005A761E">
        <w:rPr>
          <w:w w:val="105"/>
          <w:sz w:val="21"/>
          <w:szCs w:val="21"/>
        </w:rPr>
        <w:t>. David, along with</w:t>
      </w:r>
      <w:r w:rsidRPr="005A761E">
        <w:rPr>
          <w:spacing w:val="1"/>
          <w:w w:val="105"/>
          <w:sz w:val="21"/>
          <w:szCs w:val="21"/>
        </w:rPr>
        <w:t xml:space="preserve"> </w:t>
      </w:r>
      <w:r w:rsidRPr="005A761E">
        <w:rPr>
          <w:w w:val="105"/>
          <w:sz w:val="21"/>
          <w:szCs w:val="21"/>
        </w:rPr>
        <w:t>Joseph and William became members of the Arthur’s Creek Fruitgrowers Association and</w:t>
      </w:r>
      <w:r w:rsidRPr="005A761E">
        <w:rPr>
          <w:spacing w:val="1"/>
          <w:w w:val="105"/>
          <w:sz w:val="21"/>
          <w:szCs w:val="21"/>
        </w:rPr>
        <w:t xml:space="preserve"> </w:t>
      </w:r>
      <w:r w:rsidRPr="005A761E">
        <w:rPr>
          <w:w w:val="105"/>
          <w:sz w:val="21"/>
          <w:szCs w:val="21"/>
        </w:rPr>
        <w:t>appeared</w:t>
      </w:r>
      <w:r w:rsidRPr="005A761E">
        <w:rPr>
          <w:spacing w:val="1"/>
          <w:w w:val="105"/>
          <w:sz w:val="21"/>
          <w:szCs w:val="21"/>
        </w:rPr>
        <w:t xml:space="preserve"> </w:t>
      </w:r>
      <w:r w:rsidRPr="005A761E">
        <w:rPr>
          <w:w w:val="105"/>
          <w:sz w:val="21"/>
          <w:szCs w:val="21"/>
        </w:rPr>
        <w:t>as</w:t>
      </w:r>
      <w:r w:rsidRPr="005A761E">
        <w:rPr>
          <w:spacing w:val="1"/>
          <w:w w:val="105"/>
          <w:sz w:val="21"/>
          <w:szCs w:val="21"/>
        </w:rPr>
        <w:t xml:space="preserve"> </w:t>
      </w:r>
      <w:r w:rsidRPr="005A761E">
        <w:rPr>
          <w:w w:val="105"/>
          <w:sz w:val="21"/>
          <w:szCs w:val="21"/>
        </w:rPr>
        <w:t>exhibitors</w:t>
      </w:r>
      <w:r w:rsidRPr="005A761E">
        <w:rPr>
          <w:spacing w:val="1"/>
          <w:w w:val="105"/>
          <w:sz w:val="21"/>
          <w:szCs w:val="21"/>
        </w:rPr>
        <w:t xml:space="preserve"> </w:t>
      </w:r>
      <w:r w:rsidRPr="005A761E">
        <w:rPr>
          <w:w w:val="105"/>
          <w:sz w:val="21"/>
          <w:szCs w:val="21"/>
        </w:rPr>
        <w:t>of fruit from</w:t>
      </w:r>
      <w:r w:rsidRPr="005A761E">
        <w:rPr>
          <w:spacing w:val="2"/>
          <w:w w:val="105"/>
          <w:sz w:val="21"/>
          <w:szCs w:val="21"/>
        </w:rPr>
        <w:t xml:space="preserve"> </w:t>
      </w:r>
      <w:r w:rsidRPr="005A761E">
        <w:rPr>
          <w:w w:val="105"/>
          <w:sz w:val="21"/>
          <w:szCs w:val="21"/>
        </w:rPr>
        <w:t>the</w:t>
      </w:r>
      <w:r w:rsidRPr="005A761E">
        <w:rPr>
          <w:spacing w:val="1"/>
          <w:w w:val="105"/>
          <w:sz w:val="21"/>
          <w:szCs w:val="21"/>
        </w:rPr>
        <w:t xml:space="preserve"> </w:t>
      </w:r>
      <w:r w:rsidRPr="005A761E">
        <w:rPr>
          <w:w w:val="105"/>
          <w:sz w:val="21"/>
          <w:szCs w:val="21"/>
        </w:rPr>
        <w:t>early</w:t>
      </w:r>
      <w:r w:rsidRPr="005A761E">
        <w:rPr>
          <w:spacing w:val="1"/>
          <w:w w:val="105"/>
          <w:sz w:val="21"/>
          <w:szCs w:val="21"/>
        </w:rPr>
        <w:t xml:space="preserve"> </w:t>
      </w:r>
      <w:r w:rsidRPr="005A761E">
        <w:rPr>
          <w:w w:val="105"/>
          <w:sz w:val="21"/>
          <w:szCs w:val="21"/>
        </w:rPr>
        <w:t>1890(</w:t>
      </w:r>
      <w:r w:rsidRPr="005A761E">
        <w:rPr>
          <w:i/>
          <w:w w:val="105"/>
          <w:sz w:val="21"/>
          <w:szCs w:val="21"/>
        </w:rPr>
        <w:t>EO&amp;S&amp;EBR</w:t>
      </w:r>
      <w:r w:rsidRPr="005A761E">
        <w:rPr>
          <w:w w:val="105"/>
          <w:sz w:val="21"/>
          <w:szCs w:val="21"/>
        </w:rPr>
        <w:t xml:space="preserve">, 12 April 1895:2; </w:t>
      </w:r>
      <w:r w:rsidRPr="005A761E">
        <w:rPr>
          <w:i/>
          <w:w w:val="105"/>
          <w:sz w:val="21"/>
          <w:szCs w:val="21"/>
        </w:rPr>
        <w:t>Mercury and Weekly Courier</w:t>
      </w:r>
      <w:r w:rsidRPr="005A761E">
        <w:rPr>
          <w:w w:val="105"/>
          <w:sz w:val="21"/>
          <w:szCs w:val="21"/>
        </w:rPr>
        <w:t>, 18 March 1897</w:t>
      </w:r>
      <w:r w:rsidRPr="005A761E">
        <w:rPr>
          <w:spacing w:val="-43"/>
          <w:w w:val="105"/>
          <w:sz w:val="21"/>
          <w:szCs w:val="21"/>
        </w:rPr>
        <w:t xml:space="preserve"> </w:t>
      </w:r>
      <w:r w:rsidRPr="005A761E">
        <w:rPr>
          <w:w w:val="105"/>
          <w:sz w:val="21"/>
          <w:szCs w:val="21"/>
        </w:rPr>
        <w:t>:3</w:t>
      </w:r>
      <w:r w:rsidR="008414D7" w:rsidRPr="005A761E">
        <w:rPr>
          <w:w w:val="105"/>
          <w:sz w:val="21"/>
          <w:szCs w:val="21"/>
        </w:rPr>
        <w:t>).</w:t>
      </w:r>
    </w:p>
    <w:p w14:paraId="4D0EA076" w14:textId="77777777" w:rsidR="00695F9A" w:rsidRPr="005A761E" w:rsidRDefault="00695F9A" w:rsidP="00695F9A">
      <w:pPr>
        <w:jc w:val="center"/>
        <w:rPr>
          <w:rFonts w:eastAsia="Arial" w:cs="Arial"/>
          <w:w w:val="105"/>
          <w:sz w:val="21"/>
          <w:szCs w:val="21"/>
          <w:lang w:val="en-US"/>
        </w:rPr>
      </w:pPr>
    </w:p>
    <w:p w14:paraId="54C16586" w14:textId="1F69D153" w:rsidR="00695F9A" w:rsidRPr="005A761E" w:rsidRDefault="00B77D2E" w:rsidP="00695F9A">
      <w:pPr>
        <w:pStyle w:val="BodyText"/>
        <w:jc w:val="both"/>
        <w:rPr>
          <w:w w:val="105"/>
          <w:sz w:val="21"/>
          <w:szCs w:val="21"/>
        </w:rPr>
      </w:pPr>
      <w:r w:rsidRPr="005A761E">
        <w:rPr>
          <w:w w:val="105"/>
          <w:sz w:val="21"/>
          <w:szCs w:val="21"/>
        </w:rPr>
        <w:t>T</w:t>
      </w:r>
      <w:r w:rsidR="00695F9A" w:rsidRPr="005A761E">
        <w:rPr>
          <w:w w:val="105"/>
          <w:sz w:val="21"/>
          <w:szCs w:val="21"/>
        </w:rPr>
        <w:t>he Murphy family was deeply embedded in local community life. Joseph Murphy was an</w:t>
      </w:r>
      <w:r w:rsidR="00695F9A" w:rsidRPr="005A761E">
        <w:rPr>
          <w:spacing w:val="1"/>
          <w:w w:val="105"/>
          <w:sz w:val="21"/>
          <w:szCs w:val="21"/>
        </w:rPr>
        <w:t xml:space="preserve"> </w:t>
      </w:r>
      <w:r w:rsidR="00695F9A" w:rsidRPr="005A761E">
        <w:rPr>
          <w:w w:val="105"/>
          <w:sz w:val="21"/>
          <w:szCs w:val="21"/>
        </w:rPr>
        <w:t>active member of the Mechanics’ Institute and Free Library committee for nearly fifty years,</w:t>
      </w:r>
      <w:r w:rsidR="00695F9A" w:rsidRPr="005A761E">
        <w:rPr>
          <w:spacing w:val="1"/>
          <w:w w:val="105"/>
          <w:sz w:val="21"/>
          <w:szCs w:val="21"/>
        </w:rPr>
        <w:t xml:space="preserve"> </w:t>
      </w:r>
      <w:r w:rsidR="00695F9A" w:rsidRPr="005A761E">
        <w:rPr>
          <w:w w:val="105"/>
          <w:sz w:val="21"/>
          <w:szCs w:val="21"/>
        </w:rPr>
        <w:t>including the last fifteen years as president. He was also a regular member and attendant of</w:t>
      </w:r>
      <w:r w:rsidR="00695F9A" w:rsidRPr="005A761E">
        <w:rPr>
          <w:spacing w:val="1"/>
          <w:w w:val="105"/>
          <w:sz w:val="21"/>
          <w:szCs w:val="21"/>
        </w:rPr>
        <w:t xml:space="preserve"> </w:t>
      </w:r>
      <w:r w:rsidR="00695F9A" w:rsidRPr="005A761E">
        <w:rPr>
          <w:w w:val="105"/>
          <w:sz w:val="21"/>
          <w:szCs w:val="21"/>
        </w:rPr>
        <w:t>the Methodist Church (</w:t>
      </w:r>
      <w:r w:rsidR="00695F9A" w:rsidRPr="005A761E">
        <w:rPr>
          <w:i/>
          <w:w w:val="105"/>
          <w:sz w:val="21"/>
          <w:szCs w:val="21"/>
        </w:rPr>
        <w:t>Hurstbridge Advertiser</w:t>
      </w:r>
      <w:r w:rsidR="00695F9A" w:rsidRPr="005A761E">
        <w:rPr>
          <w:w w:val="105"/>
          <w:sz w:val="21"/>
          <w:szCs w:val="21"/>
        </w:rPr>
        <w:t>, 24 April</w:t>
      </w:r>
      <w:r w:rsidR="00695F9A" w:rsidRPr="005A761E">
        <w:rPr>
          <w:spacing w:val="-1"/>
          <w:w w:val="105"/>
          <w:sz w:val="21"/>
          <w:szCs w:val="21"/>
        </w:rPr>
        <w:t xml:space="preserve"> </w:t>
      </w:r>
      <w:r w:rsidR="00695F9A" w:rsidRPr="005A761E">
        <w:rPr>
          <w:w w:val="105"/>
          <w:sz w:val="21"/>
          <w:szCs w:val="21"/>
        </w:rPr>
        <w:t>1936:5). In 1903 David was a committee member of the Arthur’s Creek branch</w:t>
      </w:r>
      <w:r w:rsidR="00695F9A" w:rsidRPr="005A761E">
        <w:rPr>
          <w:spacing w:val="-53"/>
          <w:w w:val="105"/>
          <w:sz w:val="21"/>
          <w:szCs w:val="21"/>
        </w:rPr>
        <w:t xml:space="preserve"> </w:t>
      </w:r>
      <w:r w:rsidR="00695F9A" w:rsidRPr="005A761E">
        <w:rPr>
          <w:w w:val="105"/>
          <w:sz w:val="21"/>
          <w:szCs w:val="21"/>
        </w:rPr>
        <w:t>of the National Citizens’ Reform League (</w:t>
      </w:r>
      <w:r w:rsidR="00695F9A" w:rsidRPr="005A761E">
        <w:rPr>
          <w:i/>
          <w:w w:val="105"/>
          <w:sz w:val="21"/>
          <w:szCs w:val="21"/>
        </w:rPr>
        <w:t>EO&amp;BER</w:t>
      </w:r>
      <w:r w:rsidR="00695F9A" w:rsidRPr="005A761E">
        <w:rPr>
          <w:w w:val="105"/>
          <w:sz w:val="21"/>
          <w:szCs w:val="21"/>
        </w:rPr>
        <w:t>, 9</w:t>
      </w:r>
      <w:r w:rsidR="00695F9A" w:rsidRPr="005A761E">
        <w:rPr>
          <w:spacing w:val="1"/>
          <w:w w:val="105"/>
          <w:sz w:val="21"/>
          <w:szCs w:val="21"/>
        </w:rPr>
        <w:t xml:space="preserve"> </w:t>
      </w:r>
      <w:r w:rsidR="00695F9A" w:rsidRPr="005A761E">
        <w:rPr>
          <w:w w:val="105"/>
          <w:sz w:val="21"/>
          <w:szCs w:val="21"/>
        </w:rPr>
        <w:t>October 1903:2). He was elected to the Arthur’s Creek School</w:t>
      </w:r>
      <w:r w:rsidR="00695F9A" w:rsidRPr="005A761E">
        <w:rPr>
          <w:spacing w:val="1"/>
          <w:w w:val="105"/>
          <w:sz w:val="21"/>
          <w:szCs w:val="21"/>
        </w:rPr>
        <w:t xml:space="preserve"> </w:t>
      </w:r>
      <w:r w:rsidR="00695F9A" w:rsidRPr="005A761E">
        <w:rPr>
          <w:w w:val="105"/>
          <w:sz w:val="21"/>
          <w:szCs w:val="21"/>
        </w:rPr>
        <w:t>Committee</w:t>
      </w:r>
      <w:r w:rsidR="00695F9A" w:rsidRPr="005A761E">
        <w:rPr>
          <w:spacing w:val="1"/>
          <w:w w:val="105"/>
          <w:sz w:val="21"/>
          <w:szCs w:val="21"/>
        </w:rPr>
        <w:t xml:space="preserve"> </w:t>
      </w:r>
      <w:r w:rsidR="00695F9A" w:rsidRPr="005A761E">
        <w:rPr>
          <w:w w:val="105"/>
          <w:sz w:val="21"/>
          <w:szCs w:val="21"/>
        </w:rPr>
        <w:t>in</w:t>
      </w:r>
      <w:r w:rsidR="00695F9A" w:rsidRPr="005A761E">
        <w:rPr>
          <w:spacing w:val="1"/>
          <w:w w:val="105"/>
          <w:sz w:val="21"/>
          <w:szCs w:val="21"/>
        </w:rPr>
        <w:t xml:space="preserve"> </w:t>
      </w:r>
      <w:r w:rsidR="00695F9A" w:rsidRPr="005A761E">
        <w:rPr>
          <w:w w:val="105"/>
          <w:sz w:val="21"/>
          <w:szCs w:val="21"/>
        </w:rPr>
        <w:t>1911 (</w:t>
      </w:r>
      <w:r w:rsidR="00695F9A" w:rsidRPr="005A761E">
        <w:rPr>
          <w:i/>
          <w:w w:val="105"/>
          <w:sz w:val="21"/>
          <w:szCs w:val="21"/>
        </w:rPr>
        <w:t>EO&amp;BER</w:t>
      </w:r>
      <w:r w:rsidR="00695F9A" w:rsidRPr="005A761E">
        <w:rPr>
          <w:w w:val="105"/>
          <w:sz w:val="21"/>
          <w:szCs w:val="21"/>
        </w:rPr>
        <w:t>, 14 April</w:t>
      </w:r>
      <w:r w:rsidR="00695F9A" w:rsidRPr="005A761E">
        <w:rPr>
          <w:spacing w:val="1"/>
          <w:w w:val="105"/>
          <w:sz w:val="21"/>
          <w:szCs w:val="21"/>
        </w:rPr>
        <w:t xml:space="preserve"> </w:t>
      </w:r>
      <w:r w:rsidR="00695F9A" w:rsidRPr="005A761E">
        <w:rPr>
          <w:w w:val="105"/>
          <w:sz w:val="21"/>
          <w:szCs w:val="21"/>
        </w:rPr>
        <w:t>1911:2).</w:t>
      </w:r>
    </w:p>
    <w:p w14:paraId="1E7D8860" w14:textId="77777777" w:rsidR="006F24B6" w:rsidRPr="005A761E" w:rsidRDefault="006F24B6" w:rsidP="00695F9A">
      <w:pPr>
        <w:pStyle w:val="BodyText"/>
        <w:jc w:val="both"/>
        <w:rPr>
          <w:w w:val="105"/>
          <w:sz w:val="21"/>
          <w:szCs w:val="21"/>
        </w:rPr>
      </w:pPr>
    </w:p>
    <w:p w14:paraId="6820EA6B" w14:textId="77777777" w:rsidR="006F24B6" w:rsidRPr="005A761E" w:rsidRDefault="006F24B6" w:rsidP="006F24B6">
      <w:pPr>
        <w:pStyle w:val="BodyText"/>
        <w:jc w:val="both"/>
        <w:rPr>
          <w:w w:val="105"/>
          <w:sz w:val="21"/>
          <w:szCs w:val="21"/>
        </w:rPr>
      </w:pPr>
      <w:r w:rsidRPr="005A761E">
        <w:rPr>
          <w:w w:val="105"/>
          <w:sz w:val="21"/>
          <w:szCs w:val="21"/>
        </w:rPr>
        <w:t>Joseph Murphy’s son Joseph Gordon Murphy acquired part of his property, the southern part</w:t>
      </w:r>
      <w:r w:rsidRPr="005A761E">
        <w:rPr>
          <w:spacing w:val="-53"/>
          <w:w w:val="105"/>
          <w:sz w:val="21"/>
          <w:szCs w:val="21"/>
        </w:rPr>
        <w:t xml:space="preserve"> </w:t>
      </w:r>
      <w:r w:rsidRPr="005A761E">
        <w:rPr>
          <w:w w:val="105"/>
          <w:sz w:val="21"/>
          <w:szCs w:val="21"/>
        </w:rPr>
        <w:t>of Lot 28D and Lots 28C and 28F, in 1935 (CT: V1590 F957).</w:t>
      </w:r>
      <w:r w:rsidRPr="005A761E">
        <w:rPr>
          <w:w w:val="105"/>
          <w:sz w:val="21"/>
          <w:szCs w:val="21"/>
          <w:vertAlign w:val="superscript"/>
        </w:rPr>
        <w:t xml:space="preserve"> </w:t>
      </w:r>
      <w:r w:rsidRPr="005A761E">
        <w:rPr>
          <w:w w:val="105"/>
          <w:sz w:val="21"/>
          <w:szCs w:val="21"/>
        </w:rPr>
        <w:t xml:space="preserve"> He sold this land out of the family in 1938 (CT: V5974 F765).</w:t>
      </w:r>
      <w:r w:rsidRPr="005A761E">
        <w:rPr>
          <w:w w:val="105"/>
          <w:sz w:val="21"/>
          <w:szCs w:val="21"/>
          <w:vertAlign w:val="superscript"/>
        </w:rPr>
        <w:t xml:space="preserve"> </w:t>
      </w:r>
      <w:r w:rsidRPr="005A761E">
        <w:rPr>
          <w:w w:val="105"/>
          <w:sz w:val="21"/>
          <w:szCs w:val="21"/>
        </w:rPr>
        <w:t>Joseph Murphy died at ‘Park View’ in 1936 at the age of 73,</w:t>
      </w:r>
      <w:r w:rsidRPr="005A761E">
        <w:rPr>
          <w:spacing w:val="1"/>
          <w:w w:val="105"/>
          <w:sz w:val="21"/>
          <w:szCs w:val="21"/>
        </w:rPr>
        <w:t xml:space="preserve"> </w:t>
      </w:r>
      <w:r w:rsidRPr="005A761E">
        <w:rPr>
          <w:w w:val="105"/>
          <w:sz w:val="21"/>
          <w:szCs w:val="21"/>
        </w:rPr>
        <w:t>leaving a widow, two sons and two daughters (</w:t>
      </w:r>
      <w:r w:rsidRPr="005A761E">
        <w:rPr>
          <w:i/>
          <w:iCs/>
          <w:w w:val="105"/>
          <w:sz w:val="21"/>
          <w:szCs w:val="21"/>
        </w:rPr>
        <w:t xml:space="preserve">Advertiser </w:t>
      </w:r>
      <w:r w:rsidRPr="005A761E">
        <w:rPr>
          <w:w w:val="105"/>
          <w:sz w:val="21"/>
          <w:szCs w:val="21"/>
        </w:rPr>
        <w:t xml:space="preserve">24 April 1936:5). </w:t>
      </w:r>
    </w:p>
    <w:p w14:paraId="51CDEB4E" w14:textId="77777777" w:rsidR="006F24B6" w:rsidRPr="005A761E" w:rsidRDefault="006F24B6" w:rsidP="006F24B6">
      <w:pPr>
        <w:pStyle w:val="BodyText"/>
        <w:jc w:val="both"/>
        <w:rPr>
          <w:strike/>
          <w:sz w:val="21"/>
          <w:szCs w:val="21"/>
        </w:rPr>
      </w:pPr>
    </w:p>
    <w:p w14:paraId="63C8E068" w14:textId="3DD52579" w:rsidR="006F24B6" w:rsidRPr="005A761E" w:rsidRDefault="006F24B6" w:rsidP="006F24B6">
      <w:pPr>
        <w:pStyle w:val="BodyText"/>
        <w:jc w:val="both"/>
        <w:rPr>
          <w:sz w:val="21"/>
          <w:szCs w:val="21"/>
        </w:rPr>
      </w:pPr>
      <w:r w:rsidRPr="005A761E">
        <w:rPr>
          <w:w w:val="105"/>
          <w:sz w:val="21"/>
          <w:szCs w:val="21"/>
        </w:rPr>
        <w:t>David Murphy continued to reside at Park View (</w:t>
      </w:r>
      <w:r w:rsidRPr="005A761E">
        <w:rPr>
          <w:i/>
          <w:iCs/>
          <w:w w:val="105"/>
          <w:sz w:val="21"/>
          <w:szCs w:val="21"/>
        </w:rPr>
        <w:t>Argus</w:t>
      </w:r>
      <w:r w:rsidRPr="005A761E">
        <w:rPr>
          <w:w w:val="105"/>
          <w:sz w:val="21"/>
          <w:szCs w:val="21"/>
        </w:rPr>
        <w:t xml:space="preserve">, 7 April 1937: 1; September 1938:5; </w:t>
      </w:r>
      <w:r w:rsidRPr="005A761E">
        <w:rPr>
          <w:i/>
          <w:iCs/>
          <w:w w:val="105"/>
          <w:sz w:val="21"/>
          <w:szCs w:val="21"/>
        </w:rPr>
        <w:t>Advertiser</w:t>
      </w:r>
      <w:r w:rsidRPr="005A761E">
        <w:rPr>
          <w:w w:val="105"/>
          <w:sz w:val="21"/>
          <w:szCs w:val="21"/>
        </w:rPr>
        <w:t xml:space="preserve"> 16 June 1939:4). When he died in 1942 the 30-acre part Lot</w:t>
      </w:r>
      <w:r w:rsidRPr="005A761E">
        <w:rPr>
          <w:spacing w:val="-53"/>
          <w:w w:val="105"/>
          <w:sz w:val="21"/>
          <w:szCs w:val="21"/>
        </w:rPr>
        <w:t xml:space="preserve"> </w:t>
      </w:r>
      <w:r w:rsidRPr="005A761E">
        <w:rPr>
          <w:w w:val="105"/>
          <w:sz w:val="21"/>
          <w:szCs w:val="21"/>
        </w:rPr>
        <w:t xml:space="preserve">28D and Lot 27C </w:t>
      </w:r>
      <w:r w:rsidRPr="005A761E">
        <w:rPr>
          <w:w w:val="105"/>
          <w:sz w:val="21"/>
          <w:szCs w:val="21"/>
        </w:rPr>
        <w:lastRenderedPageBreak/>
        <w:t>contained “an old weatherboard dwelling house and outbuildings consisting</w:t>
      </w:r>
      <w:r w:rsidRPr="005A761E">
        <w:rPr>
          <w:spacing w:val="-53"/>
          <w:w w:val="105"/>
          <w:sz w:val="21"/>
          <w:szCs w:val="21"/>
        </w:rPr>
        <w:t xml:space="preserve"> </w:t>
      </w:r>
      <w:r w:rsidRPr="005A761E">
        <w:rPr>
          <w:w w:val="105"/>
          <w:sz w:val="21"/>
          <w:szCs w:val="21"/>
        </w:rPr>
        <w:t>of a barn, a shed, a cowshed and dairy and a stable - all very old …” (PROV, VPRS</w:t>
      </w:r>
      <w:r w:rsidRPr="005A761E">
        <w:rPr>
          <w:w w:val="105"/>
          <w:sz w:val="21"/>
          <w:szCs w:val="21"/>
          <w:lang w:eastAsia="zh-TW"/>
        </w:rPr>
        <w:t>28/P3, 335/441)</w:t>
      </w:r>
      <w:r w:rsidRPr="005A761E">
        <w:rPr>
          <w:w w:val="105"/>
          <w:sz w:val="21"/>
          <w:szCs w:val="21"/>
        </w:rPr>
        <w:t xml:space="preserve">. For the next few years David’s </w:t>
      </w:r>
      <w:r w:rsidR="005A761E" w:rsidRPr="005A761E">
        <w:rPr>
          <w:w w:val="105"/>
          <w:sz w:val="21"/>
          <w:szCs w:val="21"/>
        </w:rPr>
        <w:t>daughter</w:t>
      </w:r>
      <w:r w:rsidR="005A761E" w:rsidRPr="005A761E">
        <w:rPr>
          <w:spacing w:val="-53"/>
          <w:w w:val="105"/>
          <w:sz w:val="21"/>
          <w:szCs w:val="21"/>
        </w:rPr>
        <w:t xml:space="preserve"> </w:t>
      </w:r>
      <w:r w:rsidR="005A761E">
        <w:rPr>
          <w:spacing w:val="-53"/>
          <w:w w:val="105"/>
          <w:sz w:val="21"/>
          <w:szCs w:val="21"/>
        </w:rPr>
        <w:t>Violet</w:t>
      </w:r>
      <w:r w:rsidRPr="005A761E">
        <w:rPr>
          <w:w w:val="105"/>
          <w:sz w:val="21"/>
          <w:szCs w:val="21"/>
        </w:rPr>
        <w:t xml:space="preserve"> lived at Park View (</w:t>
      </w:r>
      <w:r w:rsidRPr="005A761E">
        <w:rPr>
          <w:i/>
          <w:iCs/>
          <w:w w:val="105"/>
          <w:sz w:val="21"/>
          <w:szCs w:val="21"/>
        </w:rPr>
        <w:t xml:space="preserve">Argus, </w:t>
      </w:r>
      <w:r w:rsidRPr="005A761E">
        <w:rPr>
          <w:w w:val="105"/>
          <w:sz w:val="21"/>
          <w:szCs w:val="21"/>
        </w:rPr>
        <w:t>1 February 1944:2). William Edward Murphy acquired the land from the executors of</w:t>
      </w:r>
      <w:r w:rsidRPr="005A761E">
        <w:rPr>
          <w:spacing w:val="1"/>
          <w:w w:val="105"/>
          <w:sz w:val="21"/>
          <w:szCs w:val="21"/>
        </w:rPr>
        <w:t xml:space="preserve"> </w:t>
      </w:r>
      <w:r w:rsidRPr="005A761E">
        <w:rPr>
          <w:w w:val="105"/>
          <w:sz w:val="21"/>
          <w:szCs w:val="21"/>
        </w:rPr>
        <w:t>David</w:t>
      </w:r>
      <w:r w:rsidRPr="005A761E">
        <w:rPr>
          <w:spacing w:val="1"/>
          <w:w w:val="105"/>
          <w:sz w:val="21"/>
          <w:szCs w:val="21"/>
        </w:rPr>
        <w:t xml:space="preserve"> </w:t>
      </w:r>
      <w:r w:rsidRPr="005A761E">
        <w:rPr>
          <w:w w:val="105"/>
          <w:sz w:val="21"/>
          <w:szCs w:val="21"/>
        </w:rPr>
        <w:t>Murphy’s</w:t>
      </w:r>
      <w:r w:rsidRPr="005A761E">
        <w:rPr>
          <w:spacing w:val="1"/>
          <w:w w:val="105"/>
          <w:sz w:val="21"/>
          <w:szCs w:val="21"/>
        </w:rPr>
        <w:t xml:space="preserve"> </w:t>
      </w:r>
      <w:r w:rsidRPr="005A761E">
        <w:rPr>
          <w:w w:val="105"/>
          <w:sz w:val="21"/>
          <w:szCs w:val="21"/>
        </w:rPr>
        <w:t>will in</w:t>
      </w:r>
      <w:r w:rsidRPr="005A761E">
        <w:rPr>
          <w:spacing w:val="2"/>
          <w:w w:val="105"/>
          <w:sz w:val="21"/>
          <w:szCs w:val="21"/>
        </w:rPr>
        <w:t xml:space="preserve"> </w:t>
      </w:r>
      <w:r w:rsidRPr="005A761E">
        <w:rPr>
          <w:w w:val="105"/>
          <w:sz w:val="21"/>
          <w:szCs w:val="21"/>
        </w:rPr>
        <w:t>1951 (</w:t>
      </w:r>
      <w:r w:rsidR="00671ECB" w:rsidRPr="005A761E">
        <w:rPr>
          <w:w w:val="105"/>
          <w:sz w:val="21"/>
          <w:szCs w:val="21"/>
        </w:rPr>
        <w:t>CT: V</w:t>
      </w:r>
      <w:r w:rsidRPr="005A761E">
        <w:rPr>
          <w:w w:val="105"/>
          <w:sz w:val="21"/>
          <w:szCs w:val="21"/>
        </w:rPr>
        <w:t>2194 F714).</w:t>
      </w:r>
    </w:p>
    <w:p w14:paraId="2C55E427" w14:textId="77777777" w:rsidR="006F24B6" w:rsidRPr="005A761E" w:rsidRDefault="006F24B6" w:rsidP="006F24B6">
      <w:pPr>
        <w:pStyle w:val="BodyText"/>
        <w:jc w:val="both"/>
        <w:rPr>
          <w:sz w:val="21"/>
          <w:szCs w:val="21"/>
          <w:lang w:val="en-GB"/>
        </w:rPr>
      </w:pPr>
    </w:p>
    <w:p w14:paraId="761E74FF" w14:textId="77777777" w:rsidR="006F24B6" w:rsidRPr="005A761E" w:rsidRDefault="006F24B6" w:rsidP="006F24B6">
      <w:pPr>
        <w:pStyle w:val="BodyText"/>
        <w:jc w:val="both"/>
        <w:rPr>
          <w:sz w:val="21"/>
          <w:szCs w:val="21"/>
        </w:rPr>
      </w:pPr>
    </w:p>
    <w:p w14:paraId="097B49C2" w14:textId="77777777" w:rsidR="006F24B6" w:rsidRPr="005A761E" w:rsidRDefault="006F24B6" w:rsidP="006F24B6">
      <w:pPr>
        <w:pStyle w:val="BodyText"/>
        <w:jc w:val="both"/>
        <w:rPr>
          <w:b/>
          <w:sz w:val="21"/>
          <w:szCs w:val="21"/>
        </w:rPr>
      </w:pPr>
      <w:r w:rsidRPr="005A761E">
        <w:rPr>
          <w:b/>
          <w:sz w:val="21"/>
          <w:szCs w:val="21"/>
        </w:rPr>
        <w:t>Description &amp; Integrity</w:t>
      </w:r>
    </w:p>
    <w:p w14:paraId="59C95956" w14:textId="77777777" w:rsidR="006F24B6" w:rsidRPr="005A761E" w:rsidRDefault="006F24B6" w:rsidP="006F24B6">
      <w:pPr>
        <w:pStyle w:val="BodyText"/>
        <w:jc w:val="both"/>
        <w:rPr>
          <w:sz w:val="21"/>
          <w:szCs w:val="21"/>
        </w:rPr>
      </w:pPr>
      <w:r w:rsidRPr="005A761E">
        <w:rPr>
          <w:sz w:val="21"/>
          <w:szCs w:val="21"/>
        </w:rPr>
        <w:t>Park View consists of a weatherboard farmhouse comprising a central wing with a double hipped roof and a perpendicular projecting gable roofed wing at either end. A skillion roofed verandah runs across the front of the central wing between the end two wings. The central wing of the residence with the verandah across the front has a central front door and a timber framed double hung window either side. The front elevations of each gable wing has twin timber framed double hung windows.</w:t>
      </w:r>
    </w:p>
    <w:p w14:paraId="1C752B7C" w14:textId="77777777" w:rsidR="006F24B6" w:rsidRPr="005A761E" w:rsidRDefault="006F24B6" w:rsidP="006F24B6">
      <w:pPr>
        <w:pStyle w:val="BodyText"/>
        <w:jc w:val="both"/>
        <w:rPr>
          <w:sz w:val="21"/>
          <w:szCs w:val="21"/>
        </w:rPr>
      </w:pPr>
    </w:p>
    <w:p w14:paraId="5611F575" w14:textId="6BC74230" w:rsidR="006F24B6" w:rsidRPr="005A761E" w:rsidRDefault="006F24B6" w:rsidP="006F24B6">
      <w:pPr>
        <w:pStyle w:val="BodyText"/>
        <w:jc w:val="both"/>
        <w:rPr>
          <w:sz w:val="21"/>
          <w:szCs w:val="21"/>
        </w:rPr>
      </w:pPr>
      <w:r w:rsidRPr="005A761E">
        <w:rPr>
          <w:sz w:val="21"/>
          <w:szCs w:val="21"/>
        </w:rPr>
        <w:t>To the rear of the residence is a large shed with a gable roof. The roof and walls are clad in corrugated iron. This may have been the stables or barn. There are other outbuildings on the site that may date from an early period</w:t>
      </w:r>
      <w:r w:rsidR="005A761E">
        <w:rPr>
          <w:sz w:val="21"/>
          <w:szCs w:val="21"/>
        </w:rPr>
        <w:t>.</w:t>
      </w:r>
    </w:p>
    <w:p w14:paraId="76F7BFBA" w14:textId="77777777" w:rsidR="00443FE4" w:rsidRDefault="00443FE4" w:rsidP="006F24B6">
      <w:pPr>
        <w:pStyle w:val="BodyText"/>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0"/>
      </w:tblGrid>
      <w:tr w:rsidR="00413DC3" w14:paraId="0ACDB966" w14:textId="77777777" w:rsidTr="4B732890">
        <w:tc>
          <w:tcPr>
            <w:tcW w:w="9020" w:type="dxa"/>
          </w:tcPr>
          <w:p w14:paraId="06ABE06F" w14:textId="5B14FB9B" w:rsidR="00413DC3" w:rsidRDefault="00443FE4" w:rsidP="4B732890">
            <w:pPr>
              <w:pStyle w:val="BodyText"/>
              <w:jc w:val="both"/>
            </w:pPr>
            <w:r>
              <w:rPr>
                <w:noProof/>
                <w:lang w:val="en-AU" w:eastAsia="en-AU"/>
              </w:rPr>
              <w:drawing>
                <wp:inline distT="0" distB="0" distL="0" distR="0" wp14:anchorId="6718A035" wp14:editId="4FC35119">
                  <wp:extent cx="5010764" cy="2714527"/>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8712" t="21416" r="7308" b="18467"/>
                          <a:stretch/>
                        </pic:blipFill>
                        <pic:spPr bwMode="auto">
                          <a:xfrm>
                            <a:off x="0" y="0"/>
                            <a:ext cx="5018280" cy="2718599"/>
                          </a:xfrm>
                          <a:prstGeom prst="rect">
                            <a:avLst/>
                          </a:prstGeom>
                          <a:ln>
                            <a:noFill/>
                          </a:ln>
                          <a:extLst>
                            <a:ext uri="{53640926-AAD7-44D8-BBD7-CCE9431645EC}">
                              <a14:shadowObscured xmlns:a14="http://schemas.microsoft.com/office/drawing/2010/main"/>
                            </a:ext>
                          </a:extLst>
                        </pic:spPr>
                      </pic:pic>
                    </a:graphicData>
                  </a:graphic>
                </wp:inline>
              </w:drawing>
            </w:r>
          </w:p>
        </w:tc>
      </w:tr>
      <w:tr w:rsidR="00413DC3" w14:paraId="02B77E96" w14:textId="77777777" w:rsidTr="4B732890">
        <w:tc>
          <w:tcPr>
            <w:tcW w:w="9020" w:type="dxa"/>
          </w:tcPr>
          <w:p w14:paraId="776632AD" w14:textId="3D91FB12" w:rsidR="00413DC3" w:rsidRPr="005A0A59" w:rsidRDefault="00443FE4" w:rsidP="4B732890">
            <w:pPr>
              <w:pStyle w:val="Caption"/>
              <w:ind w:left="0"/>
              <w:rPr>
                <w:rFonts w:ascii="Arial" w:hAnsi="Arial"/>
                <w:i w:val="0"/>
              </w:rPr>
            </w:pPr>
            <w:r w:rsidRPr="4B732890">
              <w:rPr>
                <w:rFonts w:ascii="Arial" w:hAnsi="Arial"/>
                <w:i w:val="0"/>
              </w:rPr>
              <w:t xml:space="preserve">Figure </w:t>
            </w:r>
            <w:r w:rsidRPr="4B732890">
              <w:rPr>
                <w:rFonts w:ascii="Arial" w:hAnsi="Arial"/>
              </w:rPr>
              <w:fldChar w:fldCharType="begin"/>
            </w:r>
            <w:r w:rsidRPr="4B732890">
              <w:rPr>
                <w:rFonts w:ascii="Arial" w:hAnsi="Arial"/>
              </w:rPr>
              <w:instrText xml:space="preserve"> SEQ Figure \* ARABIC </w:instrText>
            </w:r>
            <w:r w:rsidRPr="4B732890">
              <w:rPr>
                <w:rFonts w:ascii="Arial" w:hAnsi="Arial"/>
              </w:rPr>
              <w:fldChar w:fldCharType="separate"/>
            </w:r>
            <w:r w:rsidR="005A0A59" w:rsidRPr="4B732890">
              <w:rPr>
                <w:rFonts w:ascii="Arial" w:hAnsi="Arial"/>
              </w:rPr>
              <w:t>2</w:t>
            </w:r>
            <w:r w:rsidRPr="4B732890">
              <w:rPr>
                <w:rFonts w:ascii="Arial" w:hAnsi="Arial"/>
              </w:rPr>
              <w:fldChar w:fldCharType="end"/>
            </w:r>
            <w:r w:rsidRPr="4B732890">
              <w:rPr>
                <w:rFonts w:ascii="Arial" w:hAnsi="Arial"/>
                <w:i w:val="0"/>
              </w:rPr>
              <w:t xml:space="preserve">: </w:t>
            </w:r>
            <w:r w:rsidR="00413DC3" w:rsidRPr="4B732890">
              <w:rPr>
                <w:rFonts w:ascii="Arial" w:hAnsi="Arial"/>
                <w:i w:val="0"/>
              </w:rPr>
              <w:t>Aerial view of Park View. Source: N</w:t>
            </w:r>
            <w:r w:rsidRPr="4B732890">
              <w:rPr>
                <w:rFonts w:ascii="Arial" w:hAnsi="Arial"/>
                <w:i w:val="0"/>
              </w:rPr>
              <w:t xml:space="preserve">earmap, 2022 </w:t>
            </w:r>
          </w:p>
          <w:p w14:paraId="114E44F1" w14:textId="77777777" w:rsidR="00413DC3" w:rsidRDefault="00413DC3" w:rsidP="4B732890">
            <w:pPr>
              <w:pStyle w:val="BodyText"/>
              <w:jc w:val="both"/>
            </w:pPr>
          </w:p>
        </w:tc>
      </w:tr>
    </w:tbl>
    <w:p w14:paraId="1D613811" w14:textId="77777777" w:rsidR="006F24B6" w:rsidRDefault="006F24B6" w:rsidP="006F24B6">
      <w:pPr>
        <w:pStyle w:val="BodyText"/>
        <w:jc w:val="both"/>
      </w:pPr>
    </w:p>
    <w:p w14:paraId="35B0A165" w14:textId="77777777" w:rsidR="006F24B6" w:rsidRDefault="006F24B6" w:rsidP="006F24B6">
      <w:pPr>
        <w:pStyle w:val="BodyText"/>
        <w:jc w:val="both"/>
      </w:pPr>
    </w:p>
    <w:p w14:paraId="542C6287" w14:textId="77777777" w:rsidR="006F24B6" w:rsidRDefault="006F24B6" w:rsidP="006F24B6">
      <w:pPr>
        <w:pStyle w:val="BodyText"/>
        <w:jc w:val="both"/>
        <w:rPr>
          <w:b/>
        </w:rPr>
      </w:pPr>
      <w:r w:rsidRPr="00533CF2">
        <w:rPr>
          <w:b/>
        </w:rPr>
        <w:t>Comparative Analysis</w:t>
      </w:r>
    </w:p>
    <w:p w14:paraId="45CCAFC8" w14:textId="77777777" w:rsidR="006F24B6" w:rsidRPr="005A761E" w:rsidRDefault="006F24B6" w:rsidP="006F24B6">
      <w:pPr>
        <w:pStyle w:val="BodyText"/>
        <w:jc w:val="both"/>
        <w:rPr>
          <w:sz w:val="21"/>
          <w:szCs w:val="21"/>
        </w:rPr>
      </w:pPr>
    </w:p>
    <w:p w14:paraId="58806438" w14:textId="273F9C02" w:rsidR="006F24B6" w:rsidRPr="005A761E" w:rsidRDefault="002A7C10" w:rsidP="006F24B6">
      <w:pPr>
        <w:pStyle w:val="BodyText"/>
        <w:jc w:val="both"/>
        <w:rPr>
          <w:sz w:val="21"/>
          <w:szCs w:val="21"/>
        </w:rPr>
      </w:pPr>
      <w:r w:rsidRPr="005A761E">
        <w:rPr>
          <w:sz w:val="21"/>
          <w:szCs w:val="21"/>
        </w:rPr>
        <w:t xml:space="preserve">Within the Shire of Nillumbik, the following examples are comparable to the subject site: </w:t>
      </w:r>
    </w:p>
    <w:p w14:paraId="0A29FEB3" w14:textId="77777777" w:rsidR="002A7C10" w:rsidRPr="005A761E" w:rsidRDefault="002A7C10" w:rsidP="006F24B6">
      <w:pPr>
        <w:pStyle w:val="BodyText"/>
        <w:jc w:val="both"/>
        <w:rPr>
          <w:sz w:val="21"/>
          <w:szCs w:val="21"/>
        </w:rPr>
      </w:pPr>
    </w:p>
    <w:p w14:paraId="748086E5" w14:textId="77777777" w:rsidR="00AD67FD" w:rsidRPr="005A761E" w:rsidRDefault="00AD67FD" w:rsidP="00AD67FD">
      <w:pPr>
        <w:rPr>
          <w:rFonts w:cs="Arial"/>
          <w:sz w:val="21"/>
          <w:szCs w:val="21"/>
        </w:rPr>
      </w:pPr>
      <w:r w:rsidRPr="005A761E">
        <w:rPr>
          <w:rFonts w:cs="Arial"/>
          <w:sz w:val="21"/>
          <w:szCs w:val="21"/>
        </w:rPr>
        <w:t xml:space="preserve">Thornholme Residence, 180 Doctors Gully Rd, Doreen (HO192) is significant as a Victorian (c1870) and Edwardian-era farm complex associated with the pioneering Creighton family, who have been in the district since the mid-nineteenth century (TEH 2016:68). The complex comprises a variety of weatherboard buildings including a house (extended), stables, cottage and woolshed, with a variety of later outbuildings. </w:t>
      </w:r>
    </w:p>
    <w:p w14:paraId="01C40252" w14:textId="77777777" w:rsidR="00AD67FD" w:rsidRPr="005A761E" w:rsidRDefault="00AD67FD" w:rsidP="00AD67FD">
      <w:pPr>
        <w:rPr>
          <w:rFonts w:cs="Arial"/>
          <w:sz w:val="21"/>
          <w:szCs w:val="21"/>
        </w:rPr>
      </w:pPr>
    </w:p>
    <w:p w14:paraId="5799B278" w14:textId="4E2B4217" w:rsidR="00AD67FD" w:rsidRPr="005A761E" w:rsidRDefault="00AD67FD" w:rsidP="00AD67FD">
      <w:pPr>
        <w:rPr>
          <w:rFonts w:cs="Arial"/>
          <w:sz w:val="21"/>
          <w:szCs w:val="21"/>
        </w:rPr>
      </w:pPr>
      <w:r w:rsidRPr="005A761E">
        <w:rPr>
          <w:rFonts w:cs="Arial"/>
          <w:sz w:val="21"/>
          <w:szCs w:val="21"/>
        </w:rPr>
        <w:t>Thornholme and</w:t>
      </w:r>
      <w:r w:rsidR="003939CA" w:rsidRPr="005A761E">
        <w:rPr>
          <w:rFonts w:cs="Arial"/>
          <w:sz w:val="21"/>
          <w:szCs w:val="21"/>
        </w:rPr>
        <w:t xml:space="preserve"> Park View </w:t>
      </w:r>
      <w:r w:rsidRPr="005A761E">
        <w:rPr>
          <w:rFonts w:cs="Arial"/>
          <w:sz w:val="21"/>
          <w:szCs w:val="21"/>
        </w:rPr>
        <w:t xml:space="preserve">are comparable as examples of </w:t>
      </w:r>
      <w:r w:rsidR="009E5E89" w:rsidRPr="005A761E">
        <w:rPr>
          <w:rFonts w:cs="Arial"/>
          <w:sz w:val="21"/>
          <w:szCs w:val="21"/>
        </w:rPr>
        <w:t>nineteenth-century</w:t>
      </w:r>
      <w:r w:rsidRPr="005A761E">
        <w:rPr>
          <w:rFonts w:cs="Arial"/>
          <w:sz w:val="21"/>
          <w:szCs w:val="21"/>
        </w:rPr>
        <w:t xml:space="preserve"> farming properties that are associated with significant pioneering families. The complex at Thornholme retains several </w:t>
      </w:r>
      <w:r w:rsidRPr="005A761E">
        <w:rPr>
          <w:rFonts w:cs="Arial"/>
          <w:sz w:val="21"/>
          <w:szCs w:val="21"/>
        </w:rPr>
        <w:lastRenderedPageBreak/>
        <w:t>original structures and elements, providing evidence of the variety of structures required for farming.</w:t>
      </w:r>
      <w:r w:rsidR="00EE4F56" w:rsidRPr="005A761E">
        <w:rPr>
          <w:rFonts w:cs="Arial"/>
          <w:sz w:val="21"/>
          <w:szCs w:val="21"/>
        </w:rPr>
        <w:t xml:space="preserve"> Similarly, the outbuildings within Park </w:t>
      </w:r>
      <w:r w:rsidR="007B4F1D" w:rsidRPr="005A761E">
        <w:rPr>
          <w:rFonts w:cs="Arial"/>
          <w:sz w:val="21"/>
          <w:szCs w:val="21"/>
        </w:rPr>
        <w:t xml:space="preserve">View may also be indicative of early family activities within the site. </w:t>
      </w:r>
    </w:p>
    <w:p w14:paraId="10C55B40" w14:textId="77777777" w:rsidR="00AD67FD" w:rsidRPr="005A761E" w:rsidRDefault="00AD67FD" w:rsidP="00AD67FD">
      <w:pPr>
        <w:rPr>
          <w:rFonts w:cs="Arial"/>
          <w:sz w:val="21"/>
          <w:szCs w:val="21"/>
        </w:rPr>
      </w:pPr>
    </w:p>
    <w:p w14:paraId="1280ABED" w14:textId="77777777" w:rsidR="00793F38" w:rsidRPr="005A761E" w:rsidRDefault="00793F38" w:rsidP="00AD67FD">
      <w:pPr>
        <w:rPr>
          <w:rFonts w:cs="Arial"/>
          <w:sz w:val="21"/>
          <w:szCs w:val="21"/>
        </w:rPr>
      </w:pPr>
    </w:p>
    <w:p w14:paraId="7E4A6E07" w14:textId="3B7FD66F" w:rsidR="00AD67FD" w:rsidRPr="005A761E" w:rsidRDefault="00AD67FD" w:rsidP="00AD67FD">
      <w:pPr>
        <w:rPr>
          <w:rFonts w:cs="Arial"/>
          <w:sz w:val="21"/>
          <w:szCs w:val="21"/>
        </w:rPr>
      </w:pPr>
    </w:p>
    <w:p w14:paraId="5091AD02" w14:textId="77777777" w:rsidR="006F24B6" w:rsidRDefault="006F24B6" w:rsidP="006F24B6">
      <w:pPr>
        <w:pStyle w:val="BodyText"/>
        <w:jc w:val="both"/>
        <w:rPr>
          <w:lang w:val="en-AU"/>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0"/>
      </w:tblGrid>
      <w:tr w:rsidR="00793F38" w14:paraId="4B58D4EC" w14:textId="77777777" w:rsidTr="4B732890">
        <w:tc>
          <w:tcPr>
            <w:tcW w:w="9020" w:type="dxa"/>
          </w:tcPr>
          <w:p w14:paraId="580B7A1F" w14:textId="1BA9A169" w:rsidR="00793F38" w:rsidRDefault="00793F38" w:rsidP="4B732890">
            <w:pPr>
              <w:pStyle w:val="BodyText"/>
              <w:jc w:val="both"/>
              <w:rPr>
                <w:lang w:val="en-AU"/>
              </w:rPr>
            </w:pPr>
            <w:r w:rsidRPr="00F050EE">
              <w:rPr>
                <w:noProof/>
                <w:sz w:val="21"/>
                <w:szCs w:val="21"/>
                <w:lang w:val="en-AU" w:eastAsia="en-AU"/>
              </w:rPr>
              <w:drawing>
                <wp:inline distT="0" distB="0" distL="0" distR="0" wp14:anchorId="55A1ED12" wp14:editId="4010A0A8">
                  <wp:extent cx="4705866" cy="305660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707346" cy="3057564"/>
                          </a:xfrm>
                          <a:prstGeom prst="rect">
                            <a:avLst/>
                          </a:prstGeom>
                          <a:noFill/>
                          <a:ln>
                            <a:noFill/>
                          </a:ln>
                        </pic:spPr>
                      </pic:pic>
                    </a:graphicData>
                  </a:graphic>
                </wp:inline>
              </w:drawing>
            </w:r>
          </w:p>
        </w:tc>
      </w:tr>
      <w:tr w:rsidR="00793F38" w14:paraId="0D5E04B7" w14:textId="77777777" w:rsidTr="4B732890">
        <w:tc>
          <w:tcPr>
            <w:tcW w:w="9020" w:type="dxa"/>
          </w:tcPr>
          <w:p w14:paraId="29ED3D86" w14:textId="00DDE1FE" w:rsidR="00793F38" w:rsidRPr="00793F38" w:rsidRDefault="00793F38" w:rsidP="4B732890">
            <w:pPr>
              <w:rPr>
                <w:rFonts w:cs="Arial"/>
              </w:rPr>
            </w:pPr>
            <w:r w:rsidRPr="4B732890">
              <w:t xml:space="preserve">Figure </w:t>
            </w:r>
            <w:r w:rsidRPr="4B732890">
              <w:rPr>
                <w:i/>
                <w:iCs/>
              </w:rPr>
              <w:fldChar w:fldCharType="begin"/>
            </w:r>
            <w:r w:rsidRPr="4B732890">
              <w:rPr>
                <w:i/>
                <w:iCs/>
              </w:rPr>
              <w:instrText xml:space="preserve"> SEQ Figure \* ARABIC </w:instrText>
            </w:r>
            <w:r w:rsidRPr="4B732890">
              <w:rPr>
                <w:i/>
                <w:iCs/>
              </w:rPr>
              <w:fldChar w:fldCharType="separate"/>
            </w:r>
            <w:r w:rsidR="005A0A59" w:rsidRPr="4B732890">
              <w:rPr>
                <w:i/>
                <w:iCs/>
                <w:noProof/>
              </w:rPr>
              <w:t>3</w:t>
            </w:r>
            <w:r w:rsidRPr="4B732890">
              <w:rPr>
                <w:i/>
                <w:iCs/>
              </w:rPr>
              <w:fldChar w:fldCharType="end"/>
            </w:r>
            <w:r w:rsidRPr="4B732890">
              <w:t xml:space="preserve">: </w:t>
            </w:r>
            <w:r w:rsidRPr="4B732890">
              <w:rPr>
                <w:rFonts w:cs="Arial"/>
              </w:rPr>
              <w:t xml:space="preserve">Timber stable complex at Thornholme. Source: Shire of Whittlesea Heritage Study, 1991. </w:t>
            </w:r>
          </w:p>
        </w:tc>
      </w:tr>
    </w:tbl>
    <w:p w14:paraId="41EA4AF9" w14:textId="77777777" w:rsidR="00793F38" w:rsidRDefault="00793F38" w:rsidP="006F24B6">
      <w:pPr>
        <w:pStyle w:val="BodyText"/>
        <w:jc w:val="both"/>
        <w:rPr>
          <w:lang w:val="en-AU"/>
        </w:rPr>
      </w:pPr>
    </w:p>
    <w:p w14:paraId="76D7DC0E" w14:textId="044CF50A" w:rsidR="005736C6" w:rsidRPr="005A761E" w:rsidRDefault="000D05F8" w:rsidP="006F24B6">
      <w:pPr>
        <w:pStyle w:val="BodyText"/>
        <w:jc w:val="both"/>
        <w:rPr>
          <w:sz w:val="21"/>
          <w:szCs w:val="21"/>
        </w:rPr>
      </w:pPr>
      <w:r w:rsidRPr="005A761E">
        <w:rPr>
          <w:sz w:val="21"/>
          <w:szCs w:val="21"/>
          <w:lang w:val="en-AU"/>
        </w:rPr>
        <w:t>Cleir Hills at 1394 Heidelberg-Kinglake Road St Andrews (HO</w:t>
      </w:r>
      <w:r w:rsidR="00045F01" w:rsidRPr="005A761E">
        <w:rPr>
          <w:sz w:val="21"/>
          <w:szCs w:val="21"/>
          <w:lang w:val="en-AU"/>
        </w:rPr>
        <w:t xml:space="preserve">63) </w:t>
      </w:r>
      <w:r w:rsidR="007B3451" w:rsidRPr="005A761E">
        <w:rPr>
          <w:sz w:val="21"/>
          <w:szCs w:val="21"/>
          <w:lang w:val="en-AU"/>
        </w:rPr>
        <w:t xml:space="preserve">is a late </w:t>
      </w:r>
      <w:r w:rsidR="00A569C7" w:rsidRPr="005A761E">
        <w:rPr>
          <w:sz w:val="21"/>
          <w:szCs w:val="21"/>
          <w:lang w:val="en-AU"/>
        </w:rPr>
        <w:t xml:space="preserve">Victorian farming </w:t>
      </w:r>
      <w:r w:rsidR="003158FC" w:rsidRPr="005A761E">
        <w:rPr>
          <w:sz w:val="21"/>
          <w:szCs w:val="21"/>
          <w:lang w:val="en-AU"/>
        </w:rPr>
        <w:t>site</w:t>
      </w:r>
      <w:r w:rsidR="00A569C7" w:rsidRPr="005A761E">
        <w:rPr>
          <w:sz w:val="21"/>
          <w:szCs w:val="21"/>
          <w:lang w:val="en-AU"/>
        </w:rPr>
        <w:t xml:space="preserve"> that comprises a drop-slab barn</w:t>
      </w:r>
      <w:r w:rsidR="005110E0" w:rsidRPr="005A761E">
        <w:rPr>
          <w:sz w:val="21"/>
          <w:szCs w:val="21"/>
          <w:lang w:val="en-AU"/>
        </w:rPr>
        <w:t xml:space="preserve">, a weatherboard house, mature </w:t>
      </w:r>
      <w:r w:rsidR="00C525FE" w:rsidRPr="005A761E">
        <w:rPr>
          <w:sz w:val="21"/>
          <w:szCs w:val="21"/>
          <w:lang w:val="en-AU"/>
        </w:rPr>
        <w:t xml:space="preserve">pencil pine tree and indigenous plants. </w:t>
      </w:r>
      <w:r w:rsidR="003930AB" w:rsidRPr="005A761E">
        <w:rPr>
          <w:sz w:val="21"/>
          <w:szCs w:val="21"/>
        </w:rPr>
        <w:t xml:space="preserve">The </w:t>
      </w:r>
      <w:r w:rsidR="008047D9" w:rsidRPr="005A761E">
        <w:rPr>
          <w:sz w:val="21"/>
          <w:szCs w:val="21"/>
        </w:rPr>
        <w:t>site</w:t>
      </w:r>
      <w:r w:rsidR="003930AB" w:rsidRPr="005A761E">
        <w:rPr>
          <w:sz w:val="21"/>
          <w:szCs w:val="21"/>
        </w:rPr>
        <w:t xml:space="preserve"> is historically significant as it is associated with the pioneering orchardist and nurseryman William Gray of Allwood (HO61). It serves as a reminder of the importance of farming to </w:t>
      </w:r>
      <w:r w:rsidR="00190858" w:rsidRPr="005A761E">
        <w:rPr>
          <w:sz w:val="21"/>
          <w:szCs w:val="21"/>
        </w:rPr>
        <w:t>Nillumbik</w:t>
      </w:r>
      <w:r w:rsidR="003930AB" w:rsidRPr="005A761E">
        <w:rPr>
          <w:sz w:val="21"/>
          <w:szCs w:val="21"/>
        </w:rPr>
        <w:t>’s past and is a rare surviving example of a timber slab farm building in a Metropolitan context. The barn is historically and technically significant as an excellent demonstration of the kinds of building that would have been erected by the Shire's early settlers.</w:t>
      </w:r>
      <w:r w:rsidR="00A86D35" w:rsidRPr="005A761E">
        <w:rPr>
          <w:sz w:val="21"/>
          <w:szCs w:val="21"/>
        </w:rPr>
        <w:t xml:space="preserve"> </w:t>
      </w:r>
      <w:r w:rsidR="00A86D35" w:rsidRPr="005A761E">
        <w:rPr>
          <w:sz w:val="21"/>
          <w:szCs w:val="21"/>
          <w:lang w:val="en-AU"/>
        </w:rPr>
        <w:t xml:space="preserve">The place is a comparable example </w:t>
      </w:r>
      <w:r w:rsidR="002F603A" w:rsidRPr="005A761E">
        <w:rPr>
          <w:sz w:val="21"/>
          <w:szCs w:val="21"/>
          <w:lang w:val="en-AU"/>
        </w:rPr>
        <w:t xml:space="preserve">to Park View as </w:t>
      </w:r>
      <w:r w:rsidR="00656442" w:rsidRPr="005A761E">
        <w:rPr>
          <w:sz w:val="21"/>
          <w:szCs w:val="21"/>
          <w:lang w:val="en-AU"/>
        </w:rPr>
        <w:t xml:space="preserve">a farm associated with late nineteenth century orchardist and </w:t>
      </w:r>
      <w:r w:rsidR="00CB7E60" w:rsidRPr="005A761E">
        <w:rPr>
          <w:sz w:val="21"/>
          <w:szCs w:val="21"/>
          <w:lang w:val="en-AU"/>
        </w:rPr>
        <w:t xml:space="preserve">farming activities within the Shire of Nillumbik. </w:t>
      </w:r>
      <w:r w:rsidR="00DA32CE" w:rsidRPr="005A761E">
        <w:rPr>
          <w:sz w:val="21"/>
          <w:szCs w:val="21"/>
          <w:lang w:val="en-AU"/>
        </w:rPr>
        <w:t>Its surviving building fabric is likewise indicati</w:t>
      </w:r>
      <w:r w:rsidR="00A86D35" w:rsidRPr="005A761E">
        <w:rPr>
          <w:sz w:val="21"/>
          <w:szCs w:val="21"/>
          <w:lang w:val="en-AU"/>
        </w:rPr>
        <w:t>ve</w:t>
      </w:r>
      <w:r w:rsidR="00DA32CE" w:rsidRPr="005A761E">
        <w:rPr>
          <w:sz w:val="21"/>
          <w:szCs w:val="21"/>
          <w:lang w:val="en-AU"/>
        </w:rPr>
        <w:t xml:space="preserve"> of the</w:t>
      </w:r>
      <w:r w:rsidR="00CF5523" w:rsidRPr="005A761E">
        <w:rPr>
          <w:sz w:val="21"/>
          <w:szCs w:val="21"/>
          <w:lang w:val="en-AU"/>
        </w:rPr>
        <w:t xml:space="preserve"> </w:t>
      </w:r>
      <w:r w:rsidR="00A86D35" w:rsidRPr="005A761E">
        <w:rPr>
          <w:sz w:val="21"/>
          <w:szCs w:val="21"/>
          <w:lang w:val="en-AU"/>
        </w:rPr>
        <w:t>late nineteenth-century</w:t>
      </w:r>
      <w:r w:rsidR="00DA32CE" w:rsidRPr="005A761E">
        <w:rPr>
          <w:sz w:val="21"/>
          <w:szCs w:val="21"/>
          <w:lang w:val="en-AU"/>
        </w:rPr>
        <w:t xml:space="preserve"> development of orchard industry of the Shire</w:t>
      </w:r>
      <w:r w:rsidR="00CF5523" w:rsidRPr="005A761E">
        <w:rPr>
          <w:sz w:val="21"/>
          <w:szCs w:val="21"/>
          <w:lang w:val="en-AU"/>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0"/>
      </w:tblGrid>
      <w:tr w:rsidR="00CF5523" w14:paraId="17EE7468" w14:textId="77777777" w:rsidTr="00AD1225">
        <w:tc>
          <w:tcPr>
            <w:tcW w:w="9020" w:type="dxa"/>
          </w:tcPr>
          <w:p w14:paraId="40B5C25E" w14:textId="4F57064D" w:rsidR="00CF5523" w:rsidRDefault="008723B9" w:rsidP="006F24B6">
            <w:pPr>
              <w:pStyle w:val="BodyText"/>
              <w:jc w:val="both"/>
              <w:rPr>
                <w:lang w:val="en-AU"/>
              </w:rPr>
            </w:pPr>
            <w:r>
              <w:rPr>
                <w:noProof/>
                <w:lang w:val="en-AU" w:eastAsia="en-AU"/>
              </w:rPr>
              <w:lastRenderedPageBreak/>
              <w:drawing>
                <wp:inline distT="0" distB="0" distL="0" distR="0" wp14:anchorId="5FBFD800" wp14:editId="01E0ABE1">
                  <wp:extent cx="4151671" cy="2421416"/>
                  <wp:effectExtent l="0" t="0" r="127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1670" t="25077" r="21548" b="25246"/>
                          <a:stretch/>
                        </pic:blipFill>
                        <pic:spPr bwMode="auto">
                          <a:xfrm>
                            <a:off x="0" y="0"/>
                            <a:ext cx="4155591" cy="2423702"/>
                          </a:xfrm>
                          <a:prstGeom prst="rect">
                            <a:avLst/>
                          </a:prstGeom>
                          <a:ln>
                            <a:noFill/>
                          </a:ln>
                          <a:extLst>
                            <a:ext uri="{53640926-AAD7-44D8-BBD7-CCE9431645EC}">
                              <a14:shadowObscured xmlns:a14="http://schemas.microsoft.com/office/drawing/2010/main"/>
                            </a:ext>
                          </a:extLst>
                        </pic:spPr>
                      </pic:pic>
                    </a:graphicData>
                  </a:graphic>
                </wp:inline>
              </w:drawing>
            </w:r>
          </w:p>
        </w:tc>
      </w:tr>
      <w:tr w:rsidR="00CF5523" w14:paraId="09440C53" w14:textId="77777777" w:rsidTr="00AD1225">
        <w:tc>
          <w:tcPr>
            <w:tcW w:w="9020" w:type="dxa"/>
          </w:tcPr>
          <w:p w14:paraId="31F46E9B" w14:textId="5C6D81D4" w:rsidR="00CF5523" w:rsidRPr="00793F38" w:rsidRDefault="00793F38" w:rsidP="006F24B6">
            <w:pPr>
              <w:pStyle w:val="BodyText"/>
              <w:jc w:val="both"/>
              <w:rPr>
                <w:lang w:val="en-AU" w:eastAsia="zh-TW"/>
              </w:rPr>
            </w:pPr>
            <w:r w:rsidRPr="00443FE4">
              <w:rPr>
                <w:i/>
              </w:rPr>
              <w:t xml:space="preserve">Figure </w:t>
            </w:r>
            <w:r w:rsidRPr="00443FE4">
              <w:rPr>
                <w:i/>
              </w:rPr>
              <w:fldChar w:fldCharType="begin"/>
            </w:r>
            <w:r w:rsidRPr="00443FE4">
              <w:rPr>
                <w:i/>
              </w:rPr>
              <w:instrText xml:space="preserve"> SEQ Figure \* ARABIC </w:instrText>
            </w:r>
            <w:r w:rsidRPr="00443FE4">
              <w:rPr>
                <w:i/>
              </w:rPr>
              <w:fldChar w:fldCharType="separate"/>
            </w:r>
            <w:r w:rsidR="005A0A59">
              <w:rPr>
                <w:i/>
                <w:noProof/>
              </w:rPr>
              <w:t>4</w:t>
            </w:r>
            <w:r w:rsidRPr="00443FE4">
              <w:rPr>
                <w:i/>
              </w:rPr>
              <w:fldChar w:fldCharType="end"/>
            </w:r>
            <w:r>
              <w:rPr>
                <w:i/>
              </w:rPr>
              <w:t xml:space="preserve">: </w:t>
            </w:r>
            <w:r w:rsidR="008723B9">
              <w:rPr>
                <w:lang w:val="en-AU"/>
              </w:rPr>
              <w:t xml:space="preserve">Drop-slab barn at Cleir Hills in 1992. Source: </w:t>
            </w:r>
            <w:r>
              <w:rPr>
                <w:i/>
                <w:iCs/>
                <w:lang w:val="en-AU"/>
              </w:rPr>
              <w:t>Bick, S</w:t>
            </w:r>
            <w:r w:rsidR="00A95DC1">
              <w:rPr>
                <w:i/>
                <w:iCs/>
                <w:lang w:val="en-AU"/>
              </w:rPr>
              <w:t>hire of Eltham Heritage Study</w:t>
            </w:r>
            <w:r>
              <w:rPr>
                <w:i/>
                <w:iCs/>
                <w:lang w:val="en-AU"/>
              </w:rPr>
              <w:t xml:space="preserve">, </w:t>
            </w:r>
            <w:r>
              <w:rPr>
                <w:lang w:val="en-AU"/>
              </w:rPr>
              <w:t xml:space="preserve">1992. </w:t>
            </w:r>
          </w:p>
        </w:tc>
      </w:tr>
    </w:tbl>
    <w:p w14:paraId="04303450" w14:textId="0704C8C1" w:rsidR="00CF5523" w:rsidRDefault="00CF5523" w:rsidP="006F24B6">
      <w:pPr>
        <w:pStyle w:val="BodyText"/>
        <w:jc w:val="both"/>
        <w:rPr>
          <w:lang w:val="en-AU"/>
        </w:rPr>
      </w:pPr>
    </w:p>
    <w:p w14:paraId="1E51EF8B" w14:textId="0DE0A464" w:rsidR="009E2AE0" w:rsidRPr="005A761E" w:rsidRDefault="009A3245" w:rsidP="009E2AE0">
      <w:pPr>
        <w:pStyle w:val="BodyText"/>
        <w:rPr>
          <w:sz w:val="21"/>
          <w:szCs w:val="21"/>
          <w:lang w:val="en-AU"/>
        </w:rPr>
      </w:pPr>
      <w:r w:rsidRPr="005A761E">
        <w:rPr>
          <w:sz w:val="21"/>
          <w:szCs w:val="21"/>
          <w:lang w:val="en-AU"/>
        </w:rPr>
        <w:t xml:space="preserve">Allwood Residence (HO61) at </w:t>
      </w:r>
      <w:r w:rsidR="000A0BC7" w:rsidRPr="005A761E">
        <w:rPr>
          <w:sz w:val="21"/>
          <w:szCs w:val="21"/>
          <w:lang w:val="en-AU"/>
        </w:rPr>
        <w:t xml:space="preserve">901 Heidelberg-Kinglake Road Hurstbridge, </w:t>
      </w:r>
      <w:r w:rsidR="008E6247" w:rsidRPr="005A761E">
        <w:rPr>
          <w:sz w:val="21"/>
          <w:szCs w:val="21"/>
          <w:lang w:val="en-AU"/>
        </w:rPr>
        <w:t xml:space="preserve">constructed in c1894, is historically and aesthetically significant to </w:t>
      </w:r>
      <w:r w:rsidR="009E2AE0" w:rsidRPr="005A761E">
        <w:rPr>
          <w:sz w:val="21"/>
          <w:szCs w:val="21"/>
          <w:lang w:val="en-AU"/>
        </w:rPr>
        <w:t>t</w:t>
      </w:r>
      <w:r w:rsidR="008E6247" w:rsidRPr="005A761E">
        <w:rPr>
          <w:sz w:val="21"/>
          <w:szCs w:val="21"/>
          <w:lang w:val="en-AU"/>
        </w:rPr>
        <w:t xml:space="preserve">he Shire of Nillumbik. </w:t>
      </w:r>
      <w:r w:rsidR="009E2AE0" w:rsidRPr="005A761E">
        <w:rPr>
          <w:sz w:val="21"/>
          <w:szCs w:val="21"/>
          <w:lang w:val="en-AU"/>
        </w:rPr>
        <w:t xml:space="preserve">The c1894 house is historically significant as it was built for William Gray (a prominent local figure, politician and orchardist) on the site </w:t>
      </w:r>
      <w:r w:rsidR="00443CEB" w:rsidRPr="005A761E">
        <w:rPr>
          <w:sz w:val="21"/>
          <w:szCs w:val="21"/>
          <w:lang w:val="en-AU"/>
        </w:rPr>
        <w:t xml:space="preserve">that formed part of the homestead of </w:t>
      </w:r>
      <w:r w:rsidR="00A825D0" w:rsidRPr="005A761E">
        <w:rPr>
          <w:sz w:val="21"/>
          <w:szCs w:val="21"/>
          <w:lang w:val="en-AU"/>
        </w:rPr>
        <w:t xml:space="preserve">pioneer </w:t>
      </w:r>
      <w:r w:rsidR="00443CEB" w:rsidRPr="005A761E">
        <w:rPr>
          <w:sz w:val="21"/>
          <w:szCs w:val="21"/>
          <w:lang w:val="en-AU"/>
        </w:rPr>
        <w:t>Henry Hurst,</w:t>
      </w:r>
      <w:r w:rsidR="00A825D0" w:rsidRPr="005A761E">
        <w:rPr>
          <w:sz w:val="21"/>
          <w:szCs w:val="21"/>
          <w:lang w:val="en-AU"/>
        </w:rPr>
        <w:t xml:space="preserve"> after whom Hurstbridge was named. </w:t>
      </w:r>
      <w:r w:rsidR="009E2AE0" w:rsidRPr="005A761E">
        <w:rPr>
          <w:sz w:val="21"/>
          <w:szCs w:val="21"/>
          <w:lang w:val="en-AU"/>
        </w:rPr>
        <w:t xml:space="preserve"> The house is historically and aesthetically significant because it is one of the oldest buildings in the area and an example of a standard late 19th century/early 1900s timber home as well as a reminder of the nature of early settlement in the area and the start of Hurstbridge's development (Criteria B, D &amp; E).</w:t>
      </w:r>
    </w:p>
    <w:p w14:paraId="485F707A" w14:textId="77777777" w:rsidR="009E2AE0" w:rsidRPr="005A761E" w:rsidRDefault="009E2AE0" w:rsidP="009E2AE0">
      <w:pPr>
        <w:pStyle w:val="BodyText"/>
        <w:rPr>
          <w:sz w:val="21"/>
          <w:szCs w:val="21"/>
          <w:lang w:val="en-AU"/>
        </w:rPr>
      </w:pPr>
    </w:p>
    <w:p w14:paraId="67C6EEBA" w14:textId="0C33D2D2" w:rsidR="009A3245" w:rsidRPr="005A761E" w:rsidRDefault="009E2AE0" w:rsidP="009E2AE0">
      <w:pPr>
        <w:pStyle w:val="BodyText"/>
        <w:jc w:val="both"/>
        <w:rPr>
          <w:sz w:val="21"/>
          <w:szCs w:val="21"/>
          <w:lang w:val="en-AU"/>
        </w:rPr>
      </w:pPr>
      <w:r w:rsidRPr="005A761E">
        <w:rPr>
          <w:sz w:val="21"/>
          <w:szCs w:val="21"/>
          <w:lang w:val="en-AU"/>
        </w:rPr>
        <w:t>The c1900 front garden is historically significant because it is associated with both William Gray and Henry Hurst (Criterion H). It is historically and aesthetically significant because the site operated as a commercial nursery and illustrates fashions typical of the late 19th century (Criterion E). The front garden is aesthetically significant</w:t>
      </w:r>
      <w:r w:rsidR="00F54DC6" w:rsidRPr="005A761E">
        <w:rPr>
          <w:sz w:val="21"/>
          <w:szCs w:val="21"/>
          <w:lang w:val="en-AU"/>
        </w:rPr>
        <w:t>. It</w:t>
      </w:r>
      <w:r w:rsidRPr="005A761E">
        <w:rPr>
          <w:sz w:val="21"/>
          <w:szCs w:val="21"/>
          <w:lang w:val="en-AU"/>
        </w:rPr>
        <w:t xml:space="preserve"> includes</w:t>
      </w:r>
      <w:r w:rsidR="00F54DC6" w:rsidRPr="005A761E">
        <w:rPr>
          <w:sz w:val="21"/>
          <w:szCs w:val="21"/>
          <w:lang w:val="en-AU"/>
        </w:rPr>
        <w:t xml:space="preserve"> </w:t>
      </w:r>
      <w:r w:rsidRPr="005A761E">
        <w:rPr>
          <w:sz w:val="21"/>
          <w:szCs w:val="21"/>
          <w:lang w:val="en-AU"/>
        </w:rPr>
        <w:t>an ornamental garden arch placed on the axis of the front door and a less formal area to the front of the site, featuring scattered and mixed planting, including two Cabbage Tree Palms and two Thread Palms. The Cabbage Tree Palms are aesthetically significant as the largest such specimens in the Shire (Criterion B). The rear garden is more utilitarian and features informal planting of Peppercorn trees</w:t>
      </w:r>
      <w:r w:rsidR="00F54DC6" w:rsidRPr="005A761E">
        <w:rPr>
          <w:sz w:val="21"/>
          <w:szCs w:val="21"/>
          <w:lang w:val="en-AU"/>
        </w:rPr>
        <w:t xml:space="preserve"> </w:t>
      </w:r>
    </w:p>
    <w:p w14:paraId="18440B95" w14:textId="77777777" w:rsidR="004B4FB9" w:rsidRPr="005A761E" w:rsidRDefault="004B4FB9" w:rsidP="009E2AE0">
      <w:pPr>
        <w:pStyle w:val="BodyText"/>
        <w:jc w:val="both"/>
        <w:rPr>
          <w:sz w:val="21"/>
          <w:szCs w:val="21"/>
          <w:lang w:val="en-AU"/>
        </w:rPr>
      </w:pPr>
    </w:p>
    <w:p w14:paraId="0B606840" w14:textId="0EB608D7" w:rsidR="00F54DC6" w:rsidRPr="005A761E" w:rsidRDefault="00E12C74" w:rsidP="009E2AE0">
      <w:pPr>
        <w:pStyle w:val="BodyText"/>
        <w:jc w:val="both"/>
        <w:rPr>
          <w:sz w:val="21"/>
          <w:szCs w:val="21"/>
          <w:lang w:val="en-AU"/>
        </w:rPr>
      </w:pPr>
      <w:r w:rsidRPr="005A761E">
        <w:rPr>
          <w:sz w:val="21"/>
          <w:szCs w:val="21"/>
          <w:lang w:val="en-AU"/>
        </w:rPr>
        <w:t xml:space="preserve">As such, Allwood Residence is </w:t>
      </w:r>
      <w:r w:rsidR="004D7FCE" w:rsidRPr="005A761E">
        <w:rPr>
          <w:sz w:val="21"/>
          <w:szCs w:val="21"/>
          <w:lang w:val="en-AU"/>
        </w:rPr>
        <w:t xml:space="preserve">historically </w:t>
      </w:r>
      <w:r w:rsidRPr="005A761E">
        <w:rPr>
          <w:sz w:val="21"/>
          <w:szCs w:val="21"/>
          <w:lang w:val="en-AU"/>
        </w:rPr>
        <w:t xml:space="preserve">comparable to Park View in terms of its date </w:t>
      </w:r>
      <w:r w:rsidR="004D7FCE" w:rsidRPr="005A761E">
        <w:rPr>
          <w:sz w:val="21"/>
          <w:szCs w:val="21"/>
          <w:lang w:val="en-AU"/>
        </w:rPr>
        <w:t>and association</w:t>
      </w:r>
      <w:r w:rsidRPr="005A761E">
        <w:rPr>
          <w:sz w:val="21"/>
          <w:szCs w:val="21"/>
          <w:lang w:val="en-AU"/>
        </w:rPr>
        <w:t xml:space="preserve"> with </w:t>
      </w:r>
      <w:r w:rsidR="00391269" w:rsidRPr="005A761E">
        <w:rPr>
          <w:sz w:val="21"/>
          <w:szCs w:val="21"/>
          <w:lang w:val="en-AU"/>
        </w:rPr>
        <w:t xml:space="preserve">the late nineteenth century orchardists. </w:t>
      </w:r>
      <w:r w:rsidR="006D249D" w:rsidRPr="005A761E">
        <w:rPr>
          <w:sz w:val="21"/>
          <w:szCs w:val="21"/>
          <w:lang w:val="en-AU"/>
        </w:rPr>
        <w:t xml:space="preserve">Further to this, Allwood Residence retains a higher degree of aesthetic significance as a more elaborate </w:t>
      </w:r>
      <w:r w:rsidR="00C426AE" w:rsidRPr="005A761E">
        <w:rPr>
          <w:sz w:val="21"/>
          <w:szCs w:val="21"/>
          <w:lang w:val="en-AU"/>
        </w:rPr>
        <w:t>farm with</w:t>
      </w:r>
      <w:r w:rsidR="00800560" w:rsidRPr="005A761E">
        <w:rPr>
          <w:sz w:val="21"/>
          <w:szCs w:val="21"/>
          <w:lang w:val="en-AU"/>
        </w:rPr>
        <w:t xml:space="preserve"> a</w:t>
      </w:r>
      <w:r w:rsidR="002F5285" w:rsidRPr="005A761E">
        <w:rPr>
          <w:sz w:val="21"/>
          <w:szCs w:val="21"/>
          <w:lang w:val="en-AU"/>
        </w:rPr>
        <w:t xml:space="preserve">n ornamented garden setting.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0"/>
      </w:tblGrid>
      <w:tr w:rsidR="002F5285" w14:paraId="539A61E3" w14:textId="77777777" w:rsidTr="4B732890">
        <w:tc>
          <w:tcPr>
            <w:tcW w:w="9020" w:type="dxa"/>
          </w:tcPr>
          <w:p w14:paraId="6CD8C8C0" w14:textId="229AF4A3" w:rsidR="002F5285" w:rsidRDefault="00C426AE" w:rsidP="4B732890">
            <w:pPr>
              <w:pStyle w:val="BodyText"/>
              <w:jc w:val="both"/>
              <w:rPr>
                <w:lang w:val="en-GB"/>
              </w:rPr>
            </w:pPr>
            <w:r>
              <w:rPr>
                <w:noProof/>
                <w:lang w:val="en-AU" w:eastAsia="en-AU"/>
              </w:rPr>
              <w:lastRenderedPageBreak/>
              <w:drawing>
                <wp:inline distT="0" distB="0" distL="0" distR="0" wp14:anchorId="1A4FC0B9" wp14:editId="2D3F8A60">
                  <wp:extent cx="4011561" cy="2645536"/>
                  <wp:effectExtent l="0" t="0" r="8255"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1863" t="21701" r="21481" b="22253"/>
                          <a:stretch/>
                        </pic:blipFill>
                        <pic:spPr bwMode="auto">
                          <a:xfrm>
                            <a:off x="0" y="0"/>
                            <a:ext cx="4013863" cy="2647054"/>
                          </a:xfrm>
                          <a:prstGeom prst="rect">
                            <a:avLst/>
                          </a:prstGeom>
                          <a:ln>
                            <a:noFill/>
                          </a:ln>
                          <a:extLst>
                            <a:ext uri="{53640926-AAD7-44D8-BBD7-CCE9431645EC}">
                              <a14:shadowObscured xmlns:a14="http://schemas.microsoft.com/office/drawing/2010/main"/>
                            </a:ext>
                          </a:extLst>
                        </pic:spPr>
                      </pic:pic>
                    </a:graphicData>
                  </a:graphic>
                </wp:inline>
              </w:drawing>
            </w:r>
          </w:p>
        </w:tc>
      </w:tr>
      <w:tr w:rsidR="00C426AE" w:rsidRPr="005A0A59" w14:paraId="700B2CCB" w14:textId="77777777" w:rsidTr="4B732890">
        <w:tc>
          <w:tcPr>
            <w:tcW w:w="9020" w:type="dxa"/>
          </w:tcPr>
          <w:p w14:paraId="64AA3048" w14:textId="0C156D68" w:rsidR="00C426AE" w:rsidRPr="005A0A59" w:rsidRDefault="00C426AE" w:rsidP="4B732890">
            <w:pPr>
              <w:pStyle w:val="Caption"/>
              <w:ind w:left="0"/>
              <w:rPr>
                <w:rFonts w:ascii="Arial" w:hAnsi="Arial"/>
                <w:i w:val="0"/>
              </w:rPr>
            </w:pPr>
            <w:r w:rsidRPr="4B732890">
              <w:rPr>
                <w:rFonts w:ascii="Arial" w:hAnsi="Arial"/>
                <w:i w:val="0"/>
              </w:rPr>
              <w:t xml:space="preserve">Figure </w:t>
            </w:r>
            <w:r w:rsidRPr="4B732890">
              <w:rPr>
                <w:rFonts w:ascii="Arial" w:hAnsi="Arial"/>
              </w:rPr>
              <w:fldChar w:fldCharType="begin"/>
            </w:r>
            <w:r w:rsidRPr="4B732890">
              <w:rPr>
                <w:rFonts w:ascii="Arial" w:hAnsi="Arial"/>
              </w:rPr>
              <w:instrText xml:space="preserve"> SEQ Figure \* ARABIC </w:instrText>
            </w:r>
            <w:r w:rsidRPr="4B732890">
              <w:rPr>
                <w:rFonts w:ascii="Arial" w:hAnsi="Arial"/>
              </w:rPr>
              <w:fldChar w:fldCharType="separate"/>
            </w:r>
            <w:r w:rsidR="005A0A59" w:rsidRPr="4B732890">
              <w:rPr>
                <w:rFonts w:ascii="Arial" w:hAnsi="Arial"/>
              </w:rPr>
              <w:t>5</w:t>
            </w:r>
            <w:r w:rsidRPr="4B732890">
              <w:rPr>
                <w:rFonts w:ascii="Arial" w:hAnsi="Arial"/>
              </w:rPr>
              <w:fldChar w:fldCharType="end"/>
            </w:r>
            <w:r w:rsidRPr="4B732890">
              <w:rPr>
                <w:rFonts w:ascii="Arial" w:hAnsi="Arial"/>
                <w:i w:val="0"/>
              </w:rPr>
              <w:t xml:space="preserve">: Allwood Residence with </w:t>
            </w:r>
            <w:r w:rsidR="56710DAF" w:rsidRPr="4B732890">
              <w:rPr>
                <w:rFonts w:ascii="Arial" w:hAnsi="Arial"/>
                <w:i w:val="0"/>
              </w:rPr>
              <w:t>the mature trees</w:t>
            </w:r>
            <w:r w:rsidRPr="4B732890">
              <w:rPr>
                <w:rFonts w:ascii="Arial" w:hAnsi="Arial"/>
                <w:i w:val="0"/>
              </w:rPr>
              <w:t xml:space="preserve">. Source: Bick, Shire of Eltham Heritage Study, 1992. </w:t>
            </w:r>
          </w:p>
        </w:tc>
      </w:tr>
    </w:tbl>
    <w:p w14:paraId="4FD6AD58" w14:textId="77777777" w:rsidR="002F5285" w:rsidRPr="005A0A59" w:rsidRDefault="002F5285" w:rsidP="009E2AE0">
      <w:pPr>
        <w:pStyle w:val="BodyText"/>
        <w:jc w:val="both"/>
        <w:rPr>
          <w:iCs/>
          <w:lang w:val="en-GB"/>
        </w:rPr>
      </w:pPr>
    </w:p>
    <w:p w14:paraId="00FC4107" w14:textId="77E53561" w:rsidR="009A3245" w:rsidRPr="005A761E" w:rsidRDefault="000816CE" w:rsidP="006F24B6">
      <w:pPr>
        <w:pStyle w:val="BodyText"/>
        <w:jc w:val="both"/>
        <w:rPr>
          <w:color w:val="000000"/>
          <w:sz w:val="21"/>
          <w:szCs w:val="21"/>
          <w:shd w:val="clear" w:color="auto" w:fill="FFFFFF"/>
        </w:rPr>
      </w:pPr>
      <w:r w:rsidRPr="005A761E">
        <w:rPr>
          <w:sz w:val="21"/>
          <w:szCs w:val="21"/>
          <w:lang w:val="en-AU"/>
        </w:rPr>
        <w:t>Weatherboard farmhouse and outbuildings at 760 Hur</w:t>
      </w:r>
      <w:r w:rsidR="00671ECB">
        <w:rPr>
          <w:sz w:val="21"/>
          <w:szCs w:val="21"/>
          <w:lang w:val="en-AU"/>
        </w:rPr>
        <w:t>st</w:t>
      </w:r>
      <w:r w:rsidRPr="005A761E">
        <w:rPr>
          <w:sz w:val="21"/>
          <w:szCs w:val="21"/>
          <w:lang w:val="en-AU"/>
        </w:rPr>
        <w:t>br</w:t>
      </w:r>
      <w:r w:rsidR="00671ECB">
        <w:rPr>
          <w:sz w:val="21"/>
          <w:szCs w:val="21"/>
          <w:lang w:val="en-AU"/>
        </w:rPr>
        <w:t>idg</w:t>
      </w:r>
      <w:r w:rsidRPr="005A761E">
        <w:rPr>
          <w:sz w:val="21"/>
          <w:szCs w:val="21"/>
          <w:lang w:val="en-AU"/>
        </w:rPr>
        <w:t>e-Arthurs Creek Road, Arthurs Creek (HO89)</w:t>
      </w:r>
      <w:r w:rsidR="00B50034" w:rsidRPr="005A761E">
        <w:rPr>
          <w:sz w:val="21"/>
          <w:szCs w:val="21"/>
          <w:lang w:val="en-AU"/>
        </w:rPr>
        <w:t xml:space="preserve"> were constructed in c1905. The site</w:t>
      </w:r>
      <w:r w:rsidRPr="005A761E">
        <w:rPr>
          <w:sz w:val="21"/>
          <w:szCs w:val="21"/>
          <w:lang w:val="en-AU"/>
        </w:rPr>
        <w:t xml:space="preserve"> </w:t>
      </w:r>
      <w:r w:rsidR="005958AD" w:rsidRPr="005A761E">
        <w:rPr>
          <w:color w:val="000000"/>
          <w:sz w:val="21"/>
          <w:szCs w:val="21"/>
          <w:shd w:val="clear" w:color="auto" w:fill="FFFFFF"/>
        </w:rPr>
        <w:t xml:space="preserve">is historically significant because it was associated with the MacMillan family of orchardists over a long period of time and has strong links with Eltham's fruit growing industry. The farmhouse is historically and aesthetically significant as one of a small number of pre 1920s weatherboard dwellings in the rural areas of the </w:t>
      </w:r>
      <w:r w:rsidR="00BE593B" w:rsidRPr="005A761E">
        <w:rPr>
          <w:color w:val="000000"/>
          <w:sz w:val="21"/>
          <w:szCs w:val="21"/>
          <w:shd w:val="clear" w:color="auto" w:fill="FFFFFF"/>
        </w:rPr>
        <w:t xml:space="preserve">former </w:t>
      </w:r>
      <w:r w:rsidR="005958AD" w:rsidRPr="005A761E">
        <w:rPr>
          <w:color w:val="000000"/>
          <w:sz w:val="21"/>
          <w:szCs w:val="21"/>
          <w:shd w:val="clear" w:color="auto" w:fill="FFFFFF"/>
        </w:rPr>
        <w:t>Shire</w:t>
      </w:r>
      <w:r w:rsidR="00BE593B" w:rsidRPr="005A761E">
        <w:rPr>
          <w:color w:val="000000"/>
          <w:sz w:val="21"/>
          <w:szCs w:val="21"/>
          <w:shd w:val="clear" w:color="auto" w:fill="FFFFFF"/>
        </w:rPr>
        <w:t xml:space="preserve"> of Eltham</w:t>
      </w:r>
      <w:r w:rsidR="005958AD" w:rsidRPr="005A761E">
        <w:rPr>
          <w:color w:val="000000"/>
          <w:sz w:val="21"/>
          <w:szCs w:val="21"/>
          <w:shd w:val="clear" w:color="auto" w:fill="FFFFFF"/>
        </w:rPr>
        <w:t>, and one of the most substantial (Criteria A, B &amp; E).</w:t>
      </w:r>
      <w:r w:rsidR="00DE7878" w:rsidRPr="005A761E">
        <w:rPr>
          <w:color w:val="000000"/>
          <w:sz w:val="21"/>
          <w:szCs w:val="21"/>
          <w:shd w:val="clear" w:color="auto" w:fill="FFFFFF"/>
        </w:rPr>
        <w:t xml:space="preserve"> </w:t>
      </w:r>
      <w:r w:rsidR="00BB160D" w:rsidRPr="005A761E">
        <w:rPr>
          <w:color w:val="000000"/>
          <w:sz w:val="21"/>
          <w:szCs w:val="21"/>
          <w:shd w:val="clear" w:color="auto" w:fill="FFFFFF"/>
        </w:rPr>
        <w:t xml:space="preserve">Similar to Park View, the farmhouse and outbuildings </w:t>
      </w:r>
      <w:r w:rsidR="000727DC" w:rsidRPr="005A761E">
        <w:rPr>
          <w:color w:val="000000"/>
          <w:sz w:val="21"/>
          <w:szCs w:val="21"/>
          <w:shd w:val="clear" w:color="auto" w:fill="FFFFFF"/>
        </w:rPr>
        <w:t xml:space="preserve">are associated with the early orchardists of the Nillumbik Shire, and serve as </w:t>
      </w:r>
      <w:r w:rsidR="00AE2D2E" w:rsidRPr="005A761E">
        <w:rPr>
          <w:color w:val="000000"/>
          <w:sz w:val="21"/>
          <w:szCs w:val="21"/>
          <w:shd w:val="clear" w:color="auto" w:fill="FFFFFF"/>
        </w:rPr>
        <w:t xml:space="preserve">the surviving example of the Shire’s orchard industry in the early twentieth century. </w:t>
      </w:r>
    </w:p>
    <w:p w14:paraId="3A495D9A" w14:textId="77777777" w:rsidR="00AE2D2E" w:rsidRPr="005A761E" w:rsidRDefault="00AE2D2E" w:rsidP="006F24B6">
      <w:pPr>
        <w:pStyle w:val="BodyText"/>
        <w:jc w:val="both"/>
        <w:rPr>
          <w:color w:val="000000"/>
          <w:sz w:val="21"/>
          <w:szCs w:val="21"/>
          <w:shd w:val="clear" w:color="auto" w:fill="FFFFFF"/>
        </w:rPr>
      </w:pPr>
    </w:p>
    <w:p w14:paraId="19F44DDD" w14:textId="609B016A" w:rsidR="00AE2D2E" w:rsidRPr="005A761E" w:rsidRDefault="00AE2D2E" w:rsidP="006F24B6">
      <w:pPr>
        <w:pStyle w:val="BodyText"/>
        <w:jc w:val="both"/>
        <w:rPr>
          <w:sz w:val="21"/>
          <w:szCs w:val="21"/>
          <w:lang w:val="en-AU"/>
        </w:rPr>
      </w:pPr>
      <w:r w:rsidRPr="005A761E">
        <w:rPr>
          <w:color w:val="000000"/>
          <w:sz w:val="21"/>
          <w:szCs w:val="21"/>
          <w:shd w:val="clear" w:color="auto" w:fill="FFFFFF"/>
        </w:rPr>
        <w:t xml:space="preserve">The comparative analysis indicates that </w:t>
      </w:r>
      <w:r w:rsidR="00D01B7B" w:rsidRPr="005A761E">
        <w:rPr>
          <w:sz w:val="21"/>
          <w:szCs w:val="21"/>
        </w:rPr>
        <w:t xml:space="preserve">Park View is historically significant as a representative example of the </w:t>
      </w:r>
      <w:r w:rsidR="00AE367C" w:rsidRPr="005A761E">
        <w:rPr>
          <w:sz w:val="21"/>
          <w:szCs w:val="21"/>
        </w:rPr>
        <w:t xml:space="preserve">new wave of development </w:t>
      </w:r>
      <w:r w:rsidR="00D01B7B" w:rsidRPr="005A761E">
        <w:rPr>
          <w:sz w:val="21"/>
          <w:szCs w:val="21"/>
        </w:rPr>
        <w:t>in the late 19th and early 20th centuries</w:t>
      </w:r>
      <w:r w:rsidR="00AE367C" w:rsidRPr="005A761E">
        <w:rPr>
          <w:sz w:val="21"/>
          <w:szCs w:val="21"/>
        </w:rPr>
        <w:t xml:space="preserve"> within the Shire of Nillumbik</w:t>
      </w:r>
      <w:r w:rsidR="00D01B7B" w:rsidRPr="005A761E">
        <w:rPr>
          <w:sz w:val="21"/>
          <w:szCs w:val="21"/>
        </w:rPr>
        <w:t>. Although it was purchased and established by a member of the pioneering Murphy family, it was one of the later orchard properties to be established after the initial settlement of the area in the 1860s and 1870s</w:t>
      </w:r>
      <w:r w:rsidR="009061BF" w:rsidRPr="005A761E">
        <w:rPr>
          <w:sz w:val="21"/>
          <w:szCs w:val="21"/>
        </w:rPr>
        <w:t xml:space="preserve">. </w:t>
      </w:r>
      <w:r w:rsidR="001F37FE" w:rsidRPr="005A761E">
        <w:rPr>
          <w:sz w:val="21"/>
          <w:szCs w:val="21"/>
        </w:rPr>
        <w:t>Park View is aesthetically significan</w:t>
      </w:r>
      <w:r w:rsidR="00EC4084" w:rsidRPr="005A761E">
        <w:rPr>
          <w:sz w:val="21"/>
          <w:szCs w:val="21"/>
        </w:rPr>
        <w:t>t for</w:t>
      </w:r>
      <w:r w:rsidR="001F37FE" w:rsidRPr="005A761E">
        <w:rPr>
          <w:sz w:val="21"/>
          <w:szCs w:val="21"/>
        </w:rPr>
        <w:t xml:space="preserve"> its surviving Edwardian timber farmhouse and associated large and small outbuilding demonstrating the workings of the farm and orchard.</w:t>
      </w:r>
      <w:r w:rsidR="0062343B" w:rsidRPr="005A761E">
        <w:rPr>
          <w:sz w:val="21"/>
          <w:szCs w:val="21"/>
        </w:rPr>
        <w:t xml:space="preserve"> Park View is comparable to several similar heritage places within the Shire of Nillumbik. As such, it is of historic and aesthetic significance at a local level. </w:t>
      </w:r>
    </w:p>
    <w:p w14:paraId="769E802E" w14:textId="77777777" w:rsidR="00160E0F" w:rsidRDefault="00160E0F" w:rsidP="006F24B6">
      <w:pPr>
        <w:pStyle w:val="BodyText"/>
        <w:jc w:val="both"/>
        <w:rPr>
          <w:b/>
        </w:rPr>
      </w:pPr>
    </w:p>
    <w:p w14:paraId="7FA6F872" w14:textId="5C6A5728" w:rsidR="006F24B6" w:rsidRPr="00533CF2" w:rsidRDefault="006F24B6" w:rsidP="006F24B6">
      <w:pPr>
        <w:pStyle w:val="BodyText"/>
        <w:jc w:val="both"/>
        <w:rPr>
          <w:b/>
        </w:rPr>
      </w:pPr>
      <w:r w:rsidRPr="00533CF2">
        <w:rPr>
          <w:b/>
        </w:rPr>
        <w:t>Assessment Against Criteria</w:t>
      </w:r>
    </w:p>
    <w:p w14:paraId="43961BA2" w14:textId="77777777" w:rsidR="006F24B6" w:rsidRPr="00533CF2" w:rsidRDefault="006F24B6" w:rsidP="006F24B6">
      <w:pPr>
        <w:pStyle w:val="BodyText"/>
        <w:jc w:val="both"/>
      </w:pPr>
    </w:p>
    <w:p w14:paraId="70AEF72E" w14:textId="77777777" w:rsidR="006F24B6" w:rsidRPr="00533CF2" w:rsidRDefault="006F24B6" w:rsidP="006F24B6">
      <w:pPr>
        <w:pStyle w:val="BodyText"/>
        <w:jc w:val="both"/>
      </w:pPr>
      <w:r w:rsidRPr="00533CF2">
        <w:t xml:space="preserve">Criteria referred to in </w:t>
      </w:r>
      <w:r w:rsidRPr="00533CF2">
        <w:rPr>
          <w:i/>
        </w:rPr>
        <w:t xml:space="preserve">Practice Note 1: Applying the Heritage Overlay, </w:t>
      </w:r>
      <w:r w:rsidRPr="00533CF2">
        <w:t>Department of Planning and Community Development</w:t>
      </w:r>
      <w:r w:rsidRPr="00533CF2">
        <w:rPr>
          <w:i/>
        </w:rPr>
        <w:t xml:space="preserve">, </w:t>
      </w:r>
      <w:r>
        <w:t>revised July 2015</w:t>
      </w:r>
      <w:r w:rsidRPr="00533CF2">
        <w:t>, modified for the local context.</w:t>
      </w:r>
    </w:p>
    <w:p w14:paraId="034D9E0B" w14:textId="77777777" w:rsidR="006F24B6" w:rsidRPr="00533CF2" w:rsidRDefault="006F24B6" w:rsidP="006F24B6">
      <w:pPr>
        <w:pStyle w:val="BodyText"/>
        <w:jc w:val="both"/>
      </w:pPr>
    </w:p>
    <w:p w14:paraId="53B4C910" w14:textId="77777777" w:rsidR="006F24B6" w:rsidRPr="00533CF2" w:rsidRDefault="006F24B6" w:rsidP="006F24B6">
      <w:pPr>
        <w:pStyle w:val="BodyText"/>
        <w:jc w:val="both"/>
      </w:pPr>
    </w:p>
    <w:p w14:paraId="59924614" w14:textId="77777777" w:rsidR="006F24B6" w:rsidRDefault="006F24B6" w:rsidP="006F24B6">
      <w:pPr>
        <w:pStyle w:val="BodyText"/>
        <w:jc w:val="both"/>
        <w:rPr>
          <w:i/>
          <w:iCs/>
        </w:rPr>
      </w:pPr>
      <w:r w:rsidRPr="3FC870CB">
        <w:rPr>
          <w:i/>
          <w:iCs/>
        </w:rPr>
        <w:t>CRITERION A: Importance to the course or pattern of the Shire of Nillumbik’s cultural or natural history (historical significance).</w:t>
      </w:r>
    </w:p>
    <w:p w14:paraId="5B9740E2" w14:textId="72832EFB" w:rsidR="006F24B6" w:rsidRPr="005A761E" w:rsidRDefault="006F24B6" w:rsidP="006F24B6">
      <w:pPr>
        <w:pStyle w:val="BodyText"/>
        <w:jc w:val="both"/>
        <w:rPr>
          <w:sz w:val="21"/>
          <w:szCs w:val="21"/>
        </w:rPr>
      </w:pPr>
      <w:r w:rsidRPr="005A761E">
        <w:rPr>
          <w:sz w:val="21"/>
          <w:szCs w:val="21"/>
        </w:rPr>
        <w:t xml:space="preserve">Park View is historically significant as a representative example of the new wave of development in Arthur’s Creek in the late 19th and early 20th centuries. Although it was purchased and established by a member of the pioneering Murphy family, it was one of the later orchard properties to be established after the initial settlement of the area in the 1860s and 1870s. It is important for its association with the orcharding industry, demonstrating the period of renewal in fruit growing in the area in the early 20th century. A topographic map from the 1930s shows that David and Joseph Murphy’s combined orchards were among the largest in the area. Park View is historically </w:t>
      </w:r>
      <w:r w:rsidRPr="005A761E">
        <w:rPr>
          <w:sz w:val="21"/>
          <w:szCs w:val="21"/>
        </w:rPr>
        <w:lastRenderedPageBreak/>
        <w:t>significant for its associations with Arthurs Creek family the Murphys and as a farm property in the district. (Criteria A)</w:t>
      </w:r>
    </w:p>
    <w:p w14:paraId="54A11337" w14:textId="77777777" w:rsidR="006F24B6" w:rsidRDefault="006F24B6" w:rsidP="006F24B6">
      <w:pPr>
        <w:pStyle w:val="BodyText"/>
        <w:jc w:val="both"/>
      </w:pPr>
    </w:p>
    <w:p w14:paraId="426AFB26" w14:textId="77777777" w:rsidR="006F24B6" w:rsidRPr="00533CF2" w:rsidRDefault="006F24B6" w:rsidP="006F24B6">
      <w:pPr>
        <w:pStyle w:val="BodyText"/>
        <w:jc w:val="both"/>
      </w:pPr>
    </w:p>
    <w:p w14:paraId="1D31B64D" w14:textId="77777777" w:rsidR="006F24B6" w:rsidRPr="00533CF2" w:rsidRDefault="006F24B6" w:rsidP="006F24B6">
      <w:pPr>
        <w:pStyle w:val="BodyText"/>
        <w:jc w:val="both"/>
        <w:rPr>
          <w:i/>
          <w:iCs/>
        </w:rPr>
      </w:pPr>
      <w:r w:rsidRPr="3FC870CB">
        <w:rPr>
          <w:i/>
          <w:iCs/>
        </w:rPr>
        <w:t>CRITERION B: Possession of uncommon, rare or endangered aspects of the Shire of Nillumbik’s cultural or natural history (rarity).</w:t>
      </w:r>
    </w:p>
    <w:p w14:paraId="172B651E" w14:textId="77777777" w:rsidR="006F24B6" w:rsidRDefault="006F24B6" w:rsidP="006F24B6">
      <w:pPr>
        <w:pStyle w:val="BodyText"/>
        <w:jc w:val="both"/>
      </w:pPr>
    </w:p>
    <w:p w14:paraId="76D2EBC3" w14:textId="77777777" w:rsidR="006F24B6" w:rsidRPr="00533CF2" w:rsidRDefault="006F24B6" w:rsidP="006F24B6">
      <w:pPr>
        <w:pStyle w:val="BodyText"/>
        <w:jc w:val="both"/>
        <w:rPr>
          <w:i/>
        </w:rPr>
      </w:pPr>
    </w:p>
    <w:p w14:paraId="14AB9D11" w14:textId="77777777" w:rsidR="006F24B6" w:rsidRPr="00533CF2" w:rsidRDefault="006F24B6" w:rsidP="006F24B6">
      <w:pPr>
        <w:pStyle w:val="BodyText"/>
        <w:jc w:val="both"/>
        <w:rPr>
          <w:i/>
          <w:iCs/>
        </w:rPr>
      </w:pPr>
      <w:r w:rsidRPr="3FC870CB">
        <w:rPr>
          <w:i/>
          <w:iCs/>
        </w:rPr>
        <w:t>CRITERION C: Potential to yield information that will contribute to an understanding of the Shire of Nillumbik’s cultural or natural history (research potential).</w:t>
      </w:r>
    </w:p>
    <w:p w14:paraId="16B54728" w14:textId="77777777" w:rsidR="006F24B6" w:rsidRPr="00533CF2" w:rsidRDefault="006F24B6" w:rsidP="006F24B6">
      <w:pPr>
        <w:pStyle w:val="BodyText"/>
        <w:jc w:val="both"/>
      </w:pPr>
    </w:p>
    <w:p w14:paraId="437782ED" w14:textId="77777777" w:rsidR="006F24B6" w:rsidRPr="00533CF2" w:rsidRDefault="006F24B6" w:rsidP="006F24B6">
      <w:pPr>
        <w:pStyle w:val="BodyText"/>
        <w:jc w:val="both"/>
        <w:rPr>
          <w:i/>
        </w:rPr>
      </w:pPr>
    </w:p>
    <w:p w14:paraId="5AE69D2E" w14:textId="77777777" w:rsidR="006F24B6" w:rsidRPr="00533CF2" w:rsidRDefault="006F24B6" w:rsidP="006F24B6">
      <w:pPr>
        <w:pStyle w:val="BodyText"/>
        <w:jc w:val="both"/>
        <w:rPr>
          <w:i/>
        </w:rPr>
      </w:pPr>
      <w:r w:rsidRPr="00533CF2">
        <w:rPr>
          <w:i/>
        </w:rPr>
        <w:t xml:space="preserve">CRITERION D: Importance in demonstrating the principal characteristics of a class of cultural </w:t>
      </w:r>
      <w:r>
        <w:rPr>
          <w:i/>
        </w:rPr>
        <w:t xml:space="preserve">or natural </w:t>
      </w:r>
      <w:r w:rsidRPr="00533CF2">
        <w:rPr>
          <w:i/>
        </w:rPr>
        <w:t xml:space="preserve">places </w:t>
      </w:r>
      <w:r>
        <w:rPr>
          <w:i/>
        </w:rPr>
        <w:t>or</w:t>
      </w:r>
      <w:r w:rsidRPr="00533CF2">
        <w:rPr>
          <w:i/>
        </w:rPr>
        <w:t xml:space="preserve"> </w:t>
      </w:r>
      <w:r>
        <w:rPr>
          <w:i/>
        </w:rPr>
        <w:t>environments</w:t>
      </w:r>
      <w:r w:rsidRPr="00533CF2">
        <w:rPr>
          <w:i/>
        </w:rPr>
        <w:t xml:space="preserve"> (representativeness).</w:t>
      </w:r>
    </w:p>
    <w:p w14:paraId="5C28DACE" w14:textId="10A6D8B2" w:rsidR="006F24B6" w:rsidRPr="005A761E" w:rsidRDefault="006F24B6" w:rsidP="006F24B6">
      <w:pPr>
        <w:pStyle w:val="BodyText"/>
        <w:jc w:val="both"/>
        <w:rPr>
          <w:sz w:val="21"/>
          <w:szCs w:val="21"/>
          <w:highlight w:val="yellow"/>
        </w:rPr>
      </w:pPr>
      <w:r w:rsidRPr="005A761E">
        <w:rPr>
          <w:sz w:val="21"/>
          <w:szCs w:val="21"/>
        </w:rPr>
        <w:t xml:space="preserve">Park View </w:t>
      </w:r>
      <w:r w:rsidR="005A761E">
        <w:rPr>
          <w:sz w:val="21"/>
          <w:szCs w:val="21"/>
        </w:rPr>
        <w:t>is</w:t>
      </w:r>
      <w:r w:rsidRPr="005A761E">
        <w:rPr>
          <w:sz w:val="21"/>
          <w:szCs w:val="21"/>
        </w:rPr>
        <w:t xml:space="preserve"> significant</w:t>
      </w:r>
      <w:r w:rsidR="005A761E">
        <w:rPr>
          <w:sz w:val="21"/>
          <w:szCs w:val="21"/>
        </w:rPr>
        <w:t xml:space="preserve"> as a representative of an orcharding and farm complex, demonstrated by </w:t>
      </w:r>
      <w:r w:rsidRPr="005A761E">
        <w:rPr>
          <w:sz w:val="21"/>
          <w:szCs w:val="21"/>
        </w:rPr>
        <w:t xml:space="preserve">its surviving Edwardian timber farmhouse and associated </w:t>
      </w:r>
      <w:r w:rsidR="005A761E">
        <w:rPr>
          <w:sz w:val="21"/>
          <w:szCs w:val="21"/>
        </w:rPr>
        <w:t>outbuildings</w:t>
      </w:r>
      <w:r w:rsidRPr="005A761E">
        <w:rPr>
          <w:sz w:val="21"/>
          <w:szCs w:val="21"/>
        </w:rPr>
        <w:t xml:space="preserve"> demonstrating the workings of the farm and orchard. Features of note on the farmhouse include the form with central wing and perpendicular gable wings at each end, verandah between the two end wings, weatherboard cladding and timber framed double hung windows. The outbuildings</w:t>
      </w:r>
      <w:r w:rsidR="005A761E">
        <w:rPr>
          <w:sz w:val="21"/>
          <w:szCs w:val="21"/>
        </w:rPr>
        <w:t>, if they are early, may</w:t>
      </w:r>
      <w:r w:rsidRPr="005A761E">
        <w:rPr>
          <w:sz w:val="21"/>
          <w:szCs w:val="21"/>
        </w:rPr>
        <w:t xml:space="preserve"> contribute to the</w:t>
      </w:r>
      <w:r w:rsidR="005A761E">
        <w:rPr>
          <w:sz w:val="21"/>
          <w:szCs w:val="21"/>
        </w:rPr>
        <w:t xml:space="preserve"> representative</w:t>
      </w:r>
      <w:r w:rsidRPr="005A761E">
        <w:rPr>
          <w:sz w:val="21"/>
          <w:szCs w:val="21"/>
        </w:rPr>
        <w:t xml:space="preserve"> significance of the place.</w:t>
      </w:r>
    </w:p>
    <w:p w14:paraId="265EFCA9" w14:textId="77777777" w:rsidR="006F24B6" w:rsidRPr="00B17B59" w:rsidRDefault="006F24B6" w:rsidP="006F24B6">
      <w:pPr>
        <w:pStyle w:val="BodyText"/>
        <w:jc w:val="both"/>
      </w:pPr>
    </w:p>
    <w:p w14:paraId="250FA17C" w14:textId="77777777" w:rsidR="006F24B6" w:rsidRPr="00533CF2" w:rsidRDefault="006F24B6" w:rsidP="006F24B6">
      <w:pPr>
        <w:pStyle w:val="BodyText"/>
        <w:jc w:val="both"/>
        <w:rPr>
          <w:i/>
        </w:rPr>
      </w:pPr>
      <w:r w:rsidRPr="00692627">
        <w:rPr>
          <w:i/>
        </w:rPr>
        <w:t>CRITERION E: Importance in exhibiting particular aesthetic characteristics (aesthetic significance).</w:t>
      </w:r>
    </w:p>
    <w:p w14:paraId="63B2CD77" w14:textId="77777777" w:rsidR="006F24B6" w:rsidRPr="00533CF2" w:rsidRDefault="006F24B6" w:rsidP="006F24B6">
      <w:pPr>
        <w:pStyle w:val="BodyText"/>
        <w:jc w:val="both"/>
      </w:pPr>
    </w:p>
    <w:p w14:paraId="5D8129A4" w14:textId="77777777" w:rsidR="006F24B6" w:rsidRPr="00533CF2" w:rsidRDefault="006F24B6" w:rsidP="006F24B6">
      <w:pPr>
        <w:pStyle w:val="BodyText"/>
        <w:jc w:val="both"/>
        <w:rPr>
          <w:i/>
        </w:rPr>
      </w:pPr>
    </w:p>
    <w:p w14:paraId="3F27697F" w14:textId="77777777" w:rsidR="006F24B6" w:rsidRPr="00533CF2" w:rsidRDefault="006F24B6" w:rsidP="006F24B6">
      <w:pPr>
        <w:pStyle w:val="BodyText"/>
        <w:jc w:val="both"/>
        <w:rPr>
          <w:i/>
        </w:rPr>
      </w:pPr>
      <w:r w:rsidRPr="00533CF2">
        <w:rPr>
          <w:i/>
        </w:rPr>
        <w:t>CRITERION F: Importance in demonstrating a high degree of creative or technical achievement at a particular period (technical significance).</w:t>
      </w:r>
    </w:p>
    <w:p w14:paraId="6606FCB5" w14:textId="77777777" w:rsidR="006F24B6" w:rsidRPr="00533CF2" w:rsidRDefault="006F24B6" w:rsidP="006F24B6">
      <w:pPr>
        <w:pStyle w:val="BodyText"/>
        <w:jc w:val="both"/>
      </w:pPr>
    </w:p>
    <w:p w14:paraId="3519A836" w14:textId="77777777" w:rsidR="006F24B6" w:rsidRPr="00533CF2" w:rsidRDefault="006F24B6" w:rsidP="006F24B6">
      <w:pPr>
        <w:pStyle w:val="BodyText"/>
        <w:jc w:val="both"/>
        <w:rPr>
          <w:i/>
        </w:rPr>
      </w:pPr>
    </w:p>
    <w:p w14:paraId="3456EE25" w14:textId="77777777" w:rsidR="006F24B6" w:rsidRPr="00533CF2" w:rsidRDefault="006F24B6" w:rsidP="006F24B6">
      <w:pPr>
        <w:pStyle w:val="BodyText"/>
        <w:jc w:val="both"/>
        <w:rPr>
          <w:i/>
        </w:rPr>
      </w:pPr>
      <w:r w:rsidRPr="00533CF2">
        <w:rPr>
          <w:i/>
        </w:rPr>
        <w:t>CRITERION G: Strong or special association with a particular community or cultural group for social, cultural or spiritual reasons. This includes the significance of a place to Indigenous peoples as part of their continuing and developing cultural traditions (social significance).</w:t>
      </w:r>
    </w:p>
    <w:p w14:paraId="05FAC2B5" w14:textId="77777777" w:rsidR="006F24B6" w:rsidRDefault="006F24B6" w:rsidP="006F24B6">
      <w:pPr>
        <w:pStyle w:val="BodyText"/>
        <w:jc w:val="both"/>
        <w:rPr>
          <w:i/>
        </w:rPr>
      </w:pPr>
    </w:p>
    <w:p w14:paraId="000C5540" w14:textId="77777777" w:rsidR="006F24B6" w:rsidRPr="00533CF2" w:rsidRDefault="006F24B6" w:rsidP="006F24B6">
      <w:pPr>
        <w:pStyle w:val="BodyText"/>
        <w:jc w:val="both"/>
        <w:rPr>
          <w:i/>
        </w:rPr>
      </w:pPr>
    </w:p>
    <w:p w14:paraId="742F3444" w14:textId="77777777" w:rsidR="006F24B6" w:rsidRDefault="006F24B6" w:rsidP="006F24B6">
      <w:pPr>
        <w:pStyle w:val="BodyText"/>
        <w:jc w:val="both"/>
        <w:rPr>
          <w:i/>
          <w:iCs/>
        </w:rPr>
      </w:pPr>
      <w:r w:rsidRPr="3FC870CB">
        <w:rPr>
          <w:i/>
          <w:iCs/>
        </w:rPr>
        <w:t>CRITERION H: Special association with the life or works of a person, or group of persons, of importance in the Shire of Nillumbik’s history (associative significance).</w:t>
      </w:r>
    </w:p>
    <w:p w14:paraId="3F47693C" w14:textId="77777777" w:rsidR="006F24B6" w:rsidRDefault="006F24B6" w:rsidP="006F24B6">
      <w:pPr>
        <w:pStyle w:val="BodyText"/>
        <w:jc w:val="both"/>
      </w:pPr>
    </w:p>
    <w:p w14:paraId="319D058E" w14:textId="77777777" w:rsidR="006F24B6" w:rsidRDefault="006F24B6" w:rsidP="006F24B6">
      <w:pPr>
        <w:pStyle w:val="BodyText"/>
        <w:jc w:val="both"/>
        <w:rPr>
          <w:b/>
        </w:rPr>
      </w:pPr>
    </w:p>
    <w:p w14:paraId="3BC0F01A" w14:textId="77777777" w:rsidR="005A761E" w:rsidRDefault="005A761E">
      <w:pPr>
        <w:overflowPunct/>
        <w:autoSpaceDE/>
        <w:autoSpaceDN/>
        <w:adjustRightInd/>
        <w:jc w:val="left"/>
        <w:textAlignment w:val="auto"/>
        <w:rPr>
          <w:rFonts w:eastAsia="Arial" w:cs="Arial"/>
          <w:b/>
          <w:lang w:val="en-US"/>
        </w:rPr>
      </w:pPr>
      <w:r>
        <w:rPr>
          <w:b/>
        </w:rPr>
        <w:br w:type="page"/>
      </w:r>
    </w:p>
    <w:p w14:paraId="1C086BD2" w14:textId="77777777" w:rsidR="006F24B6" w:rsidRPr="005A761E" w:rsidRDefault="006F24B6" w:rsidP="006F24B6">
      <w:pPr>
        <w:pStyle w:val="BodyText"/>
        <w:jc w:val="both"/>
        <w:rPr>
          <w:b/>
          <w:sz w:val="21"/>
          <w:szCs w:val="21"/>
        </w:rPr>
      </w:pPr>
      <w:r w:rsidRPr="005A761E">
        <w:rPr>
          <w:b/>
          <w:sz w:val="21"/>
          <w:szCs w:val="21"/>
        </w:rPr>
        <w:lastRenderedPageBreak/>
        <w:t>Grading and Recommendations</w:t>
      </w:r>
    </w:p>
    <w:p w14:paraId="0A1D182E" w14:textId="77777777" w:rsidR="006F24B6" w:rsidRPr="005A761E" w:rsidRDefault="006F24B6" w:rsidP="006F24B6">
      <w:pPr>
        <w:pStyle w:val="BodyText"/>
        <w:jc w:val="both"/>
        <w:rPr>
          <w:sz w:val="21"/>
          <w:szCs w:val="21"/>
        </w:rPr>
      </w:pPr>
    </w:p>
    <w:p w14:paraId="19355BBA" w14:textId="77320FCE" w:rsidR="006F24B6" w:rsidRPr="005A761E" w:rsidRDefault="006F24B6" w:rsidP="006F24B6">
      <w:pPr>
        <w:pStyle w:val="BodyText"/>
        <w:jc w:val="both"/>
        <w:rPr>
          <w:sz w:val="21"/>
          <w:szCs w:val="21"/>
        </w:rPr>
      </w:pPr>
      <w:r w:rsidRPr="005A761E">
        <w:rPr>
          <w:sz w:val="21"/>
          <w:szCs w:val="21"/>
        </w:rPr>
        <w:t xml:space="preserve">Recommended for inclusion in the schedule to the Heritage Overlay of the </w:t>
      </w:r>
      <w:r w:rsidR="00D424D0" w:rsidRPr="005A761E">
        <w:rPr>
          <w:sz w:val="21"/>
          <w:szCs w:val="21"/>
        </w:rPr>
        <w:t>Nillumbik</w:t>
      </w:r>
      <w:r w:rsidRPr="005A761E">
        <w:rPr>
          <w:sz w:val="21"/>
          <w:szCs w:val="21"/>
        </w:rPr>
        <w:t xml:space="preserve"> Planning Scheme.</w:t>
      </w:r>
      <w:r w:rsidRPr="005A761E">
        <w:rPr>
          <w:sz w:val="21"/>
          <w:szCs w:val="21"/>
        </w:rPr>
        <w:br/>
      </w:r>
      <w:r w:rsidRPr="005A761E">
        <w:rPr>
          <w:sz w:val="21"/>
          <w:szCs w:val="21"/>
        </w:rPr>
        <w:br/>
      </w:r>
      <w:r w:rsidRPr="005A761E">
        <w:rPr>
          <w:color w:val="000000" w:themeColor="text1"/>
          <w:sz w:val="21"/>
          <w:szCs w:val="21"/>
        </w:rPr>
        <w:t xml:space="preserve">Recommendations for the Schedule to the Heritage Overlay (Clause 43.01) in the </w:t>
      </w:r>
      <w:r w:rsidR="00671ECB" w:rsidRPr="005A761E">
        <w:rPr>
          <w:color w:val="000000" w:themeColor="text1"/>
          <w:sz w:val="21"/>
          <w:szCs w:val="21"/>
        </w:rPr>
        <w:t>Nillumbik</w:t>
      </w:r>
      <w:r w:rsidRPr="005A761E">
        <w:rPr>
          <w:color w:val="000000" w:themeColor="text1"/>
          <w:sz w:val="21"/>
          <w:szCs w:val="21"/>
        </w:rPr>
        <w:t xml:space="preserve"> Planning Scheme:</w:t>
      </w:r>
    </w:p>
    <w:p w14:paraId="2F0CBF32" w14:textId="77777777" w:rsidR="006F24B6" w:rsidRPr="00533CF2" w:rsidRDefault="006F24B6" w:rsidP="006F24B6">
      <w:pPr>
        <w:pStyle w:val="BodyText"/>
        <w:jc w:val="both"/>
      </w:pPr>
    </w:p>
    <w:p w14:paraId="170FA5BA" w14:textId="77777777" w:rsidR="006F24B6" w:rsidRPr="00533CF2" w:rsidRDefault="006F24B6" w:rsidP="006F24B6">
      <w:pPr>
        <w:pStyle w:val="BodyText"/>
        <w:jc w:val="both"/>
      </w:pPr>
    </w:p>
    <w:tbl>
      <w:tblPr>
        <w:tblW w:w="0" w:type="auto"/>
        <w:tblLayout w:type="fixed"/>
        <w:tblLook w:val="04A0" w:firstRow="1" w:lastRow="0" w:firstColumn="1" w:lastColumn="0" w:noHBand="0" w:noVBand="1"/>
      </w:tblPr>
      <w:tblGrid>
        <w:gridCol w:w="6053"/>
        <w:gridCol w:w="2242"/>
      </w:tblGrid>
      <w:tr w:rsidR="006F24B6" w14:paraId="669A74B8" w14:textId="77777777" w:rsidTr="00267F67">
        <w:trPr>
          <w:trHeight w:val="330"/>
        </w:trPr>
        <w:tc>
          <w:tcPr>
            <w:tcW w:w="6053" w:type="dxa"/>
            <w:tcBorders>
              <w:top w:val="single" w:sz="6" w:space="0" w:color="auto"/>
              <w:left w:val="single" w:sz="6" w:space="0" w:color="auto"/>
              <w:bottom w:val="single" w:sz="6" w:space="0" w:color="auto"/>
              <w:right w:val="single" w:sz="6" w:space="0" w:color="auto"/>
            </w:tcBorders>
            <w:vAlign w:val="center"/>
          </w:tcPr>
          <w:p w14:paraId="4E558BC3" w14:textId="77777777" w:rsidR="006F24B6" w:rsidRDefault="006F24B6" w:rsidP="00267F67">
            <w:pPr>
              <w:pStyle w:val="BodyText"/>
              <w:jc w:val="both"/>
              <w:rPr>
                <w:color w:val="000000" w:themeColor="text1"/>
              </w:rPr>
            </w:pPr>
            <w:r w:rsidRPr="3FC870CB">
              <w:rPr>
                <w:b/>
                <w:bCs/>
                <w:color w:val="000000" w:themeColor="text1"/>
              </w:rPr>
              <w:t>External Paint</w:t>
            </w:r>
            <w:r w:rsidRPr="00671ECB">
              <w:rPr>
                <w:b/>
                <w:bCs/>
                <w:color w:val="000000" w:themeColor="text1"/>
                <w:lang w:val="en-AU"/>
              </w:rPr>
              <w:t xml:space="preserve"> Colours</w:t>
            </w:r>
            <w:r w:rsidRPr="3FC870CB">
              <w:rPr>
                <w:b/>
                <w:bCs/>
                <w:color w:val="000000" w:themeColor="text1"/>
              </w:rPr>
              <w:t xml:space="preserve"> </w:t>
            </w:r>
          </w:p>
          <w:p w14:paraId="42DFA4B6" w14:textId="77777777" w:rsidR="006F24B6" w:rsidRDefault="006F24B6" w:rsidP="00267F67">
            <w:pPr>
              <w:pStyle w:val="BodyText"/>
              <w:jc w:val="both"/>
              <w:rPr>
                <w:color w:val="000000" w:themeColor="text1"/>
              </w:rPr>
            </w:pPr>
            <w:r w:rsidRPr="3FC870CB">
              <w:rPr>
                <w:i/>
                <w:iCs/>
                <w:color w:val="000000" w:themeColor="text1"/>
              </w:rPr>
              <w:t>Is a permit required to paint an already painted surface?</w:t>
            </w:r>
          </w:p>
        </w:tc>
        <w:tc>
          <w:tcPr>
            <w:tcW w:w="2242" w:type="dxa"/>
            <w:tcBorders>
              <w:top w:val="single" w:sz="6" w:space="0" w:color="auto"/>
              <w:left w:val="single" w:sz="6" w:space="0" w:color="auto"/>
              <w:bottom w:val="single" w:sz="6" w:space="0" w:color="auto"/>
              <w:right w:val="single" w:sz="6" w:space="0" w:color="auto"/>
            </w:tcBorders>
            <w:vAlign w:val="center"/>
          </w:tcPr>
          <w:p w14:paraId="18BEB109" w14:textId="0791E111" w:rsidR="006F24B6" w:rsidRDefault="005A761E" w:rsidP="00267F67">
            <w:pPr>
              <w:pStyle w:val="BodyText"/>
              <w:jc w:val="both"/>
              <w:rPr>
                <w:color w:val="000000" w:themeColor="text1"/>
              </w:rPr>
            </w:pPr>
            <w:r>
              <w:rPr>
                <w:color w:val="000000" w:themeColor="text1"/>
              </w:rPr>
              <w:t>No</w:t>
            </w:r>
          </w:p>
        </w:tc>
      </w:tr>
      <w:tr w:rsidR="006F24B6" w14:paraId="50024978" w14:textId="77777777" w:rsidTr="00267F67">
        <w:trPr>
          <w:trHeight w:val="330"/>
        </w:trPr>
        <w:tc>
          <w:tcPr>
            <w:tcW w:w="6053" w:type="dxa"/>
            <w:tcBorders>
              <w:top w:val="single" w:sz="6" w:space="0" w:color="auto"/>
              <w:left w:val="single" w:sz="6" w:space="0" w:color="auto"/>
              <w:bottom w:val="single" w:sz="6" w:space="0" w:color="auto"/>
              <w:right w:val="single" w:sz="6" w:space="0" w:color="auto"/>
            </w:tcBorders>
            <w:vAlign w:val="center"/>
          </w:tcPr>
          <w:p w14:paraId="4E7C9780" w14:textId="77777777" w:rsidR="006F24B6" w:rsidRDefault="006F24B6" w:rsidP="00267F67">
            <w:pPr>
              <w:pStyle w:val="BodyText"/>
              <w:jc w:val="both"/>
              <w:rPr>
                <w:color w:val="000000" w:themeColor="text1"/>
              </w:rPr>
            </w:pPr>
            <w:r w:rsidRPr="3FC870CB">
              <w:rPr>
                <w:b/>
                <w:bCs/>
                <w:color w:val="000000" w:themeColor="text1"/>
              </w:rPr>
              <w:t xml:space="preserve">Internal Alteration Controls </w:t>
            </w:r>
          </w:p>
          <w:p w14:paraId="1CCCEF7B" w14:textId="77777777" w:rsidR="006F24B6" w:rsidRDefault="006F24B6" w:rsidP="00267F67">
            <w:pPr>
              <w:pStyle w:val="BodyText"/>
              <w:jc w:val="both"/>
              <w:rPr>
                <w:color w:val="000000" w:themeColor="text1"/>
              </w:rPr>
            </w:pPr>
            <w:r w:rsidRPr="3FC870CB">
              <w:rPr>
                <w:i/>
                <w:iCs/>
                <w:color w:val="000000" w:themeColor="text1"/>
              </w:rPr>
              <w:t>Is a permit required for internal alterations?</w:t>
            </w:r>
          </w:p>
        </w:tc>
        <w:tc>
          <w:tcPr>
            <w:tcW w:w="2242" w:type="dxa"/>
            <w:tcBorders>
              <w:top w:val="single" w:sz="6" w:space="0" w:color="auto"/>
              <w:left w:val="single" w:sz="6" w:space="0" w:color="auto"/>
              <w:bottom w:val="single" w:sz="6" w:space="0" w:color="auto"/>
              <w:right w:val="single" w:sz="6" w:space="0" w:color="auto"/>
            </w:tcBorders>
            <w:vAlign w:val="center"/>
          </w:tcPr>
          <w:p w14:paraId="7D0BFD53" w14:textId="49356E70" w:rsidR="006F24B6" w:rsidRDefault="00844A13" w:rsidP="00267F67">
            <w:pPr>
              <w:pStyle w:val="BodyText"/>
              <w:jc w:val="both"/>
              <w:rPr>
                <w:color w:val="000000" w:themeColor="text1"/>
              </w:rPr>
            </w:pPr>
            <w:r>
              <w:rPr>
                <w:color w:val="000000" w:themeColor="text1"/>
              </w:rPr>
              <w:t>No</w:t>
            </w:r>
          </w:p>
        </w:tc>
      </w:tr>
      <w:tr w:rsidR="006F24B6" w14:paraId="4B2CEBF7" w14:textId="77777777" w:rsidTr="00267F67">
        <w:trPr>
          <w:trHeight w:val="330"/>
        </w:trPr>
        <w:tc>
          <w:tcPr>
            <w:tcW w:w="6053" w:type="dxa"/>
            <w:tcBorders>
              <w:top w:val="single" w:sz="6" w:space="0" w:color="auto"/>
              <w:left w:val="single" w:sz="6" w:space="0" w:color="auto"/>
              <w:bottom w:val="single" w:sz="6" w:space="0" w:color="auto"/>
              <w:right w:val="single" w:sz="6" w:space="0" w:color="auto"/>
            </w:tcBorders>
            <w:vAlign w:val="center"/>
          </w:tcPr>
          <w:p w14:paraId="02C9653A" w14:textId="77777777" w:rsidR="006F24B6" w:rsidRDefault="006F24B6" w:rsidP="00267F67">
            <w:pPr>
              <w:pStyle w:val="BodyText"/>
              <w:jc w:val="both"/>
              <w:rPr>
                <w:color w:val="000000" w:themeColor="text1"/>
              </w:rPr>
            </w:pPr>
            <w:r w:rsidRPr="3FC870CB">
              <w:rPr>
                <w:b/>
                <w:bCs/>
                <w:color w:val="000000" w:themeColor="text1"/>
              </w:rPr>
              <w:t xml:space="preserve">Tree Controls </w:t>
            </w:r>
          </w:p>
          <w:p w14:paraId="033D1361" w14:textId="77777777" w:rsidR="006F24B6" w:rsidRDefault="006F24B6" w:rsidP="00267F67">
            <w:pPr>
              <w:pStyle w:val="BodyText"/>
              <w:jc w:val="both"/>
              <w:rPr>
                <w:color w:val="000000" w:themeColor="text1"/>
              </w:rPr>
            </w:pPr>
            <w:r w:rsidRPr="3FC870CB">
              <w:rPr>
                <w:i/>
                <w:iCs/>
                <w:color w:val="000000" w:themeColor="text1"/>
              </w:rPr>
              <w:t>Is a permit required to remove a tree?</w:t>
            </w:r>
          </w:p>
        </w:tc>
        <w:tc>
          <w:tcPr>
            <w:tcW w:w="2242" w:type="dxa"/>
            <w:tcBorders>
              <w:top w:val="single" w:sz="6" w:space="0" w:color="auto"/>
              <w:left w:val="single" w:sz="6" w:space="0" w:color="auto"/>
              <w:bottom w:val="single" w:sz="6" w:space="0" w:color="auto"/>
              <w:right w:val="single" w:sz="6" w:space="0" w:color="auto"/>
            </w:tcBorders>
            <w:vAlign w:val="center"/>
          </w:tcPr>
          <w:p w14:paraId="591D1148" w14:textId="58D85EAA" w:rsidR="006F24B6" w:rsidRDefault="00844A13" w:rsidP="00267F67">
            <w:pPr>
              <w:pStyle w:val="BodyText"/>
              <w:jc w:val="both"/>
              <w:rPr>
                <w:color w:val="000000" w:themeColor="text1"/>
              </w:rPr>
            </w:pPr>
            <w:r>
              <w:rPr>
                <w:color w:val="000000" w:themeColor="text1"/>
              </w:rPr>
              <w:t>No</w:t>
            </w:r>
          </w:p>
        </w:tc>
      </w:tr>
      <w:tr w:rsidR="006F24B6" w14:paraId="78880838" w14:textId="77777777" w:rsidTr="00267F67">
        <w:trPr>
          <w:trHeight w:val="330"/>
        </w:trPr>
        <w:tc>
          <w:tcPr>
            <w:tcW w:w="6053" w:type="dxa"/>
            <w:tcBorders>
              <w:top w:val="single" w:sz="6" w:space="0" w:color="auto"/>
              <w:left w:val="single" w:sz="6" w:space="0" w:color="auto"/>
              <w:bottom w:val="single" w:sz="6" w:space="0" w:color="auto"/>
              <w:right w:val="single" w:sz="6" w:space="0" w:color="auto"/>
            </w:tcBorders>
            <w:vAlign w:val="center"/>
          </w:tcPr>
          <w:p w14:paraId="15653BC0" w14:textId="77777777" w:rsidR="006F24B6" w:rsidRDefault="006F24B6" w:rsidP="00267F67">
            <w:pPr>
              <w:pStyle w:val="BodyText"/>
              <w:jc w:val="both"/>
              <w:rPr>
                <w:color w:val="000000" w:themeColor="text1"/>
              </w:rPr>
            </w:pPr>
            <w:r w:rsidRPr="3FC870CB">
              <w:rPr>
                <w:b/>
                <w:bCs/>
                <w:color w:val="000000" w:themeColor="text1"/>
              </w:rPr>
              <w:t>Victorian Heritage Register</w:t>
            </w:r>
          </w:p>
          <w:p w14:paraId="67B1E022" w14:textId="77777777" w:rsidR="006F24B6" w:rsidRDefault="006F24B6" w:rsidP="00267F67">
            <w:pPr>
              <w:pStyle w:val="BodyText"/>
              <w:jc w:val="both"/>
              <w:rPr>
                <w:color w:val="000000" w:themeColor="text1"/>
              </w:rPr>
            </w:pPr>
            <w:r w:rsidRPr="3FC870CB">
              <w:rPr>
                <w:i/>
                <w:iCs/>
                <w:color w:val="000000" w:themeColor="text1"/>
              </w:rPr>
              <w:t>Is the place included on the Victorian Heritage Register?</w:t>
            </w:r>
          </w:p>
        </w:tc>
        <w:tc>
          <w:tcPr>
            <w:tcW w:w="2242" w:type="dxa"/>
            <w:tcBorders>
              <w:top w:val="single" w:sz="6" w:space="0" w:color="auto"/>
              <w:left w:val="single" w:sz="6" w:space="0" w:color="auto"/>
              <w:bottom w:val="single" w:sz="6" w:space="0" w:color="auto"/>
              <w:right w:val="single" w:sz="6" w:space="0" w:color="auto"/>
            </w:tcBorders>
            <w:vAlign w:val="center"/>
          </w:tcPr>
          <w:p w14:paraId="2DF058B6" w14:textId="4892E0CC" w:rsidR="006F24B6" w:rsidRDefault="00844A13" w:rsidP="00267F67">
            <w:pPr>
              <w:pStyle w:val="BodyText"/>
              <w:jc w:val="both"/>
              <w:rPr>
                <w:color w:val="000000" w:themeColor="text1"/>
              </w:rPr>
            </w:pPr>
            <w:r>
              <w:rPr>
                <w:color w:val="000000" w:themeColor="text1"/>
              </w:rPr>
              <w:t>No</w:t>
            </w:r>
          </w:p>
        </w:tc>
      </w:tr>
      <w:tr w:rsidR="006F24B6" w14:paraId="4A42C53A" w14:textId="77777777" w:rsidTr="00267F67">
        <w:trPr>
          <w:trHeight w:val="330"/>
        </w:trPr>
        <w:tc>
          <w:tcPr>
            <w:tcW w:w="6053" w:type="dxa"/>
            <w:tcBorders>
              <w:top w:val="single" w:sz="6" w:space="0" w:color="auto"/>
              <w:left w:val="single" w:sz="6" w:space="0" w:color="auto"/>
              <w:bottom w:val="single" w:sz="6" w:space="0" w:color="auto"/>
              <w:right w:val="single" w:sz="6" w:space="0" w:color="auto"/>
            </w:tcBorders>
            <w:vAlign w:val="center"/>
          </w:tcPr>
          <w:p w14:paraId="15B03ED6" w14:textId="77777777" w:rsidR="006F24B6" w:rsidRDefault="006F24B6" w:rsidP="00267F67">
            <w:pPr>
              <w:pStyle w:val="BodyText"/>
              <w:jc w:val="both"/>
              <w:rPr>
                <w:color w:val="000000" w:themeColor="text1"/>
              </w:rPr>
            </w:pPr>
            <w:r w:rsidRPr="3FC870CB">
              <w:rPr>
                <w:b/>
                <w:bCs/>
                <w:color w:val="000000" w:themeColor="text1"/>
              </w:rPr>
              <w:t xml:space="preserve">Incorporated Plan </w:t>
            </w:r>
          </w:p>
          <w:p w14:paraId="25676033" w14:textId="77777777" w:rsidR="006F24B6" w:rsidRDefault="006F24B6" w:rsidP="00267F67">
            <w:pPr>
              <w:pStyle w:val="BodyText"/>
              <w:jc w:val="both"/>
              <w:rPr>
                <w:color w:val="000000" w:themeColor="text1"/>
              </w:rPr>
            </w:pPr>
            <w:r w:rsidRPr="3FC870CB">
              <w:rPr>
                <w:i/>
                <w:iCs/>
                <w:color w:val="000000" w:themeColor="text1"/>
              </w:rPr>
              <w:t>Does an Incorporated Plan apply to the site?</w:t>
            </w:r>
          </w:p>
        </w:tc>
        <w:tc>
          <w:tcPr>
            <w:tcW w:w="2242" w:type="dxa"/>
            <w:tcBorders>
              <w:top w:val="single" w:sz="6" w:space="0" w:color="auto"/>
              <w:left w:val="single" w:sz="6" w:space="0" w:color="auto"/>
              <w:bottom w:val="single" w:sz="6" w:space="0" w:color="auto"/>
              <w:right w:val="single" w:sz="6" w:space="0" w:color="auto"/>
            </w:tcBorders>
            <w:vAlign w:val="center"/>
          </w:tcPr>
          <w:p w14:paraId="09E250CF" w14:textId="78E69FCA" w:rsidR="006F24B6" w:rsidRDefault="00844A13" w:rsidP="00267F67">
            <w:pPr>
              <w:pStyle w:val="BodyText"/>
              <w:jc w:val="both"/>
              <w:rPr>
                <w:color w:val="000000" w:themeColor="text1"/>
              </w:rPr>
            </w:pPr>
            <w:r>
              <w:rPr>
                <w:color w:val="000000" w:themeColor="text1"/>
              </w:rPr>
              <w:t>No</w:t>
            </w:r>
          </w:p>
        </w:tc>
      </w:tr>
      <w:tr w:rsidR="006F24B6" w14:paraId="12D3EBD6" w14:textId="77777777" w:rsidTr="00267F67">
        <w:trPr>
          <w:trHeight w:val="330"/>
        </w:trPr>
        <w:tc>
          <w:tcPr>
            <w:tcW w:w="6053" w:type="dxa"/>
            <w:tcBorders>
              <w:top w:val="single" w:sz="6" w:space="0" w:color="auto"/>
              <w:left w:val="single" w:sz="6" w:space="0" w:color="auto"/>
              <w:bottom w:val="single" w:sz="6" w:space="0" w:color="auto"/>
              <w:right w:val="single" w:sz="6" w:space="0" w:color="auto"/>
            </w:tcBorders>
            <w:vAlign w:val="center"/>
          </w:tcPr>
          <w:p w14:paraId="7E952C77" w14:textId="77777777" w:rsidR="006F24B6" w:rsidRDefault="006F24B6" w:rsidP="00267F67">
            <w:pPr>
              <w:pStyle w:val="BodyText"/>
              <w:jc w:val="both"/>
              <w:rPr>
                <w:color w:val="000000" w:themeColor="text1"/>
              </w:rPr>
            </w:pPr>
            <w:r w:rsidRPr="3FC870CB">
              <w:rPr>
                <w:b/>
                <w:bCs/>
                <w:color w:val="000000" w:themeColor="text1"/>
              </w:rPr>
              <w:t xml:space="preserve">Outbuildings and fences exemptions </w:t>
            </w:r>
          </w:p>
          <w:p w14:paraId="3BD7CEBC" w14:textId="77777777" w:rsidR="006F24B6" w:rsidRDefault="006F24B6" w:rsidP="00267F67">
            <w:pPr>
              <w:pStyle w:val="BodyText"/>
              <w:jc w:val="both"/>
              <w:rPr>
                <w:color w:val="000000" w:themeColor="text1"/>
              </w:rPr>
            </w:pPr>
            <w:r w:rsidRPr="3FC870CB">
              <w:rPr>
                <w:i/>
                <w:iCs/>
                <w:color w:val="000000" w:themeColor="text1"/>
              </w:rPr>
              <w:t>Are there outbuildings and fences which are not exempt from notice and review?</w:t>
            </w:r>
          </w:p>
        </w:tc>
        <w:tc>
          <w:tcPr>
            <w:tcW w:w="2242" w:type="dxa"/>
            <w:tcBorders>
              <w:top w:val="single" w:sz="6" w:space="0" w:color="auto"/>
              <w:left w:val="single" w:sz="6" w:space="0" w:color="auto"/>
              <w:bottom w:val="single" w:sz="6" w:space="0" w:color="auto"/>
              <w:right w:val="single" w:sz="6" w:space="0" w:color="auto"/>
            </w:tcBorders>
            <w:vAlign w:val="center"/>
          </w:tcPr>
          <w:p w14:paraId="6122E5BA" w14:textId="0CCA2C92" w:rsidR="006F24B6" w:rsidRDefault="005A761E" w:rsidP="00267F67">
            <w:pPr>
              <w:pStyle w:val="BodyText"/>
              <w:jc w:val="both"/>
              <w:rPr>
                <w:color w:val="000000" w:themeColor="text1"/>
              </w:rPr>
            </w:pPr>
            <w:r>
              <w:rPr>
                <w:color w:val="000000" w:themeColor="text1"/>
              </w:rPr>
              <w:t>No</w:t>
            </w:r>
          </w:p>
        </w:tc>
      </w:tr>
      <w:tr w:rsidR="006F24B6" w14:paraId="1A36E96F" w14:textId="77777777" w:rsidTr="00267F67">
        <w:trPr>
          <w:trHeight w:val="330"/>
        </w:trPr>
        <w:tc>
          <w:tcPr>
            <w:tcW w:w="6053" w:type="dxa"/>
            <w:tcBorders>
              <w:top w:val="single" w:sz="6" w:space="0" w:color="auto"/>
              <w:left w:val="single" w:sz="6" w:space="0" w:color="auto"/>
              <w:bottom w:val="single" w:sz="6" w:space="0" w:color="auto"/>
              <w:right w:val="single" w:sz="6" w:space="0" w:color="auto"/>
            </w:tcBorders>
            <w:vAlign w:val="center"/>
          </w:tcPr>
          <w:p w14:paraId="670B2D5B" w14:textId="77777777" w:rsidR="006F24B6" w:rsidRDefault="006F24B6" w:rsidP="00267F67">
            <w:pPr>
              <w:pStyle w:val="BodyText"/>
              <w:jc w:val="both"/>
              <w:rPr>
                <w:color w:val="000000" w:themeColor="text1"/>
              </w:rPr>
            </w:pPr>
            <w:r w:rsidRPr="3FC870CB">
              <w:rPr>
                <w:b/>
                <w:bCs/>
                <w:color w:val="000000" w:themeColor="text1"/>
              </w:rPr>
              <w:t xml:space="preserve">Prohibited uses may be permitted </w:t>
            </w:r>
          </w:p>
          <w:p w14:paraId="32D7FA3D" w14:textId="77777777" w:rsidR="006F24B6" w:rsidRDefault="006F24B6" w:rsidP="00267F67">
            <w:pPr>
              <w:pStyle w:val="BodyText"/>
              <w:jc w:val="both"/>
              <w:rPr>
                <w:color w:val="000000" w:themeColor="text1"/>
              </w:rPr>
            </w:pPr>
            <w:r w:rsidRPr="3FC870CB">
              <w:rPr>
                <w:i/>
                <w:iCs/>
                <w:color w:val="000000" w:themeColor="text1"/>
              </w:rPr>
              <w:t>Can a permit be granted to use the place for a use which would otherwise be prohibited?</w:t>
            </w:r>
          </w:p>
        </w:tc>
        <w:tc>
          <w:tcPr>
            <w:tcW w:w="2242" w:type="dxa"/>
            <w:tcBorders>
              <w:top w:val="single" w:sz="6" w:space="0" w:color="auto"/>
              <w:left w:val="single" w:sz="6" w:space="0" w:color="auto"/>
              <w:bottom w:val="single" w:sz="6" w:space="0" w:color="auto"/>
              <w:right w:val="single" w:sz="6" w:space="0" w:color="auto"/>
            </w:tcBorders>
            <w:vAlign w:val="center"/>
          </w:tcPr>
          <w:p w14:paraId="22A7CB81" w14:textId="77961199" w:rsidR="006F24B6" w:rsidRDefault="00844A13" w:rsidP="00267F67">
            <w:pPr>
              <w:pStyle w:val="BodyText"/>
              <w:jc w:val="both"/>
              <w:rPr>
                <w:color w:val="000000" w:themeColor="text1"/>
              </w:rPr>
            </w:pPr>
            <w:r>
              <w:rPr>
                <w:color w:val="000000" w:themeColor="text1"/>
              </w:rPr>
              <w:t>No</w:t>
            </w:r>
          </w:p>
        </w:tc>
      </w:tr>
      <w:tr w:rsidR="006F24B6" w14:paraId="177FD69F" w14:textId="77777777" w:rsidTr="00267F67">
        <w:trPr>
          <w:trHeight w:val="330"/>
        </w:trPr>
        <w:tc>
          <w:tcPr>
            <w:tcW w:w="6053" w:type="dxa"/>
            <w:tcBorders>
              <w:top w:val="single" w:sz="6" w:space="0" w:color="auto"/>
              <w:left w:val="single" w:sz="6" w:space="0" w:color="auto"/>
              <w:bottom w:val="single" w:sz="6" w:space="0" w:color="auto"/>
              <w:right w:val="single" w:sz="6" w:space="0" w:color="auto"/>
            </w:tcBorders>
            <w:vAlign w:val="center"/>
          </w:tcPr>
          <w:p w14:paraId="47A60B6F" w14:textId="77777777" w:rsidR="006F24B6" w:rsidRDefault="006F24B6" w:rsidP="00267F67">
            <w:pPr>
              <w:pStyle w:val="BodyText"/>
              <w:jc w:val="both"/>
              <w:rPr>
                <w:color w:val="000000" w:themeColor="text1"/>
              </w:rPr>
            </w:pPr>
            <w:r w:rsidRPr="3FC870CB">
              <w:rPr>
                <w:b/>
                <w:bCs/>
                <w:color w:val="000000" w:themeColor="text1"/>
              </w:rPr>
              <w:t>Aboriginal Heritage Place</w:t>
            </w:r>
          </w:p>
          <w:p w14:paraId="48117F6F" w14:textId="77777777" w:rsidR="006F24B6" w:rsidRDefault="006F24B6" w:rsidP="00267F67">
            <w:pPr>
              <w:pStyle w:val="BodyText"/>
              <w:jc w:val="both"/>
              <w:rPr>
                <w:color w:val="000000" w:themeColor="text1"/>
              </w:rPr>
            </w:pPr>
            <w:r w:rsidRPr="3FC870CB">
              <w:rPr>
                <w:i/>
                <w:iCs/>
                <w:color w:val="000000" w:themeColor="text1"/>
              </w:rPr>
              <w:t>Is the place an Aboriginal heritage place which is subject to the requirements of the Aboriginal Heritage Act 2006?</w:t>
            </w:r>
          </w:p>
        </w:tc>
        <w:tc>
          <w:tcPr>
            <w:tcW w:w="2242" w:type="dxa"/>
            <w:tcBorders>
              <w:top w:val="single" w:sz="6" w:space="0" w:color="auto"/>
              <w:left w:val="single" w:sz="6" w:space="0" w:color="auto"/>
              <w:bottom w:val="single" w:sz="6" w:space="0" w:color="auto"/>
              <w:right w:val="single" w:sz="6" w:space="0" w:color="auto"/>
            </w:tcBorders>
            <w:vAlign w:val="center"/>
          </w:tcPr>
          <w:p w14:paraId="6252A48E" w14:textId="28D7F903" w:rsidR="006F24B6" w:rsidRDefault="00844A13" w:rsidP="00267F67">
            <w:pPr>
              <w:pStyle w:val="BodyText"/>
              <w:jc w:val="both"/>
              <w:rPr>
                <w:color w:val="000000" w:themeColor="text1"/>
              </w:rPr>
            </w:pPr>
            <w:r>
              <w:rPr>
                <w:color w:val="000000" w:themeColor="text1"/>
              </w:rPr>
              <w:t>No</w:t>
            </w:r>
          </w:p>
        </w:tc>
      </w:tr>
    </w:tbl>
    <w:p w14:paraId="1E594EFB" w14:textId="77777777" w:rsidR="006F24B6" w:rsidRDefault="006F24B6" w:rsidP="006F24B6">
      <w:pPr>
        <w:pStyle w:val="BodyText"/>
        <w:jc w:val="both"/>
      </w:pPr>
    </w:p>
    <w:p w14:paraId="6337B605" w14:textId="77777777" w:rsidR="006F24B6" w:rsidRDefault="006F24B6" w:rsidP="006F24B6">
      <w:pPr>
        <w:pStyle w:val="BodyText"/>
        <w:jc w:val="both"/>
      </w:pPr>
    </w:p>
    <w:p w14:paraId="6B4EB88D" w14:textId="77777777" w:rsidR="006F24B6" w:rsidRPr="001E3CC7" w:rsidRDefault="006F24B6" w:rsidP="006F24B6">
      <w:pPr>
        <w:pStyle w:val="BodyText"/>
        <w:jc w:val="both"/>
        <w:rPr>
          <w:b/>
        </w:rPr>
      </w:pPr>
      <w:r w:rsidRPr="001E3CC7">
        <w:rPr>
          <w:b/>
        </w:rPr>
        <w:t>Identified By</w:t>
      </w:r>
    </w:p>
    <w:p w14:paraId="460AF827" w14:textId="77777777" w:rsidR="006F24B6" w:rsidRPr="001E3CC7" w:rsidRDefault="006F24B6" w:rsidP="006F24B6">
      <w:pPr>
        <w:pStyle w:val="BodyText"/>
        <w:jc w:val="both"/>
      </w:pPr>
    </w:p>
    <w:p w14:paraId="2DDEBE9F" w14:textId="0931E846" w:rsidR="006F24B6" w:rsidRDefault="00844A13" w:rsidP="006F24B6">
      <w:pPr>
        <w:pStyle w:val="BodyText"/>
        <w:jc w:val="both"/>
      </w:pPr>
      <w:r>
        <w:t>Samantha Westbrooke Pty Ltd, Dr</w:t>
      </w:r>
      <w:r w:rsidR="00671ECB">
        <w:t>.</w:t>
      </w:r>
      <w:r>
        <w:t xml:space="preserve"> Peter Mills and Trethowan Architecture </w:t>
      </w:r>
    </w:p>
    <w:p w14:paraId="5543940E" w14:textId="77777777" w:rsidR="006F24B6" w:rsidRDefault="006F24B6" w:rsidP="006F24B6">
      <w:pPr>
        <w:pStyle w:val="BodyText"/>
        <w:jc w:val="both"/>
      </w:pPr>
    </w:p>
    <w:p w14:paraId="1C93C311" w14:textId="77777777" w:rsidR="006F24B6" w:rsidRPr="00535ABB" w:rsidRDefault="006F24B6" w:rsidP="006F24B6">
      <w:pPr>
        <w:pStyle w:val="BodyText"/>
        <w:jc w:val="both"/>
        <w:rPr>
          <w:b/>
          <w:bCs/>
        </w:rPr>
      </w:pPr>
      <w:r w:rsidRPr="00535ABB">
        <w:rPr>
          <w:b/>
          <w:bCs/>
        </w:rPr>
        <w:t xml:space="preserve">Proposed Extent </w:t>
      </w:r>
    </w:p>
    <w:p w14:paraId="6BAF1ED1" w14:textId="77777777" w:rsidR="006F24B6" w:rsidRDefault="006F24B6" w:rsidP="006F24B6">
      <w:pPr>
        <w:pStyle w:val="BodyText"/>
        <w:jc w:val="both"/>
      </w:pPr>
    </w:p>
    <w:p w14:paraId="383E283E" w14:textId="49840535" w:rsidR="006F24B6" w:rsidRDefault="005A761E" w:rsidP="006F24B6">
      <w:pPr>
        <w:pStyle w:val="BodyText"/>
        <w:jc w:val="both"/>
      </w:pPr>
      <w:r>
        <w:t>To the property boundaries.</w:t>
      </w:r>
    </w:p>
    <w:p w14:paraId="439AB727" w14:textId="77777777" w:rsidR="006F24B6" w:rsidRPr="00533CF2" w:rsidRDefault="006F24B6" w:rsidP="006F24B6">
      <w:pPr>
        <w:pStyle w:val="BodyText"/>
        <w:jc w:val="both"/>
      </w:pPr>
    </w:p>
    <w:p w14:paraId="21712AD6" w14:textId="77777777" w:rsidR="006F24B6" w:rsidRDefault="006F24B6" w:rsidP="006F24B6">
      <w:pPr>
        <w:pStyle w:val="BodyText"/>
        <w:jc w:val="both"/>
        <w:rPr>
          <w:b/>
        </w:rPr>
      </w:pPr>
      <w:r>
        <w:rPr>
          <w:b/>
          <w:noProof/>
          <w:lang w:val="en-AU" w:eastAsia="en-AU"/>
        </w:rPr>
        <w:lastRenderedPageBreak/>
        <w:drawing>
          <wp:inline distT="0" distB="0" distL="0" distR="0" wp14:anchorId="23D9C957" wp14:editId="750DC839">
            <wp:extent cx="3271282" cy="3581400"/>
            <wp:effectExtent l="0" t="0" r="5715" b="0"/>
            <wp:docPr id="2" name="Picture 2" descr="A picture containing automaton, eng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automaton, engine&#10;&#10;Description automatically generate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275076" cy="3585554"/>
                    </a:xfrm>
                    <a:prstGeom prst="rect">
                      <a:avLst/>
                    </a:prstGeom>
                    <a:noFill/>
                  </pic:spPr>
                </pic:pic>
              </a:graphicData>
            </a:graphic>
          </wp:inline>
        </w:drawing>
      </w:r>
      <w:r>
        <w:rPr>
          <w:b/>
        </w:rPr>
        <w:br w:type="page"/>
      </w:r>
    </w:p>
    <w:p w14:paraId="0D851B27" w14:textId="77777777" w:rsidR="006F24B6" w:rsidRPr="00533CF2" w:rsidRDefault="006F24B6" w:rsidP="006F24B6">
      <w:pPr>
        <w:pStyle w:val="BodyText"/>
        <w:jc w:val="both"/>
        <w:rPr>
          <w:b/>
        </w:rPr>
      </w:pPr>
      <w:r w:rsidRPr="00533CF2">
        <w:rPr>
          <w:b/>
        </w:rPr>
        <w:lastRenderedPageBreak/>
        <w:t>References</w:t>
      </w:r>
    </w:p>
    <w:p w14:paraId="466F5E9D" w14:textId="77777777" w:rsidR="006F24B6" w:rsidRDefault="006F24B6" w:rsidP="006F24B6">
      <w:pPr>
        <w:pStyle w:val="BodyText"/>
        <w:jc w:val="both"/>
      </w:pPr>
    </w:p>
    <w:p w14:paraId="398D96C2" w14:textId="5AAD73B7" w:rsidR="006F24B6" w:rsidRDefault="006F24B6" w:rsidP="006F24B6">
      <w:pPr>
        <w:pStyle w:val="BodyText"/>
        <w:jc w:val="both"/>
        <w:rPr>
          <w:w w:val="105"/>
          <w:sz w:val="19"/>
        </w:rPr>
      </w:pPr>
      <w:r w:rsidRPr="00146841">
        <w:rPr>
          <w:i/>
          <w:iCs/>
          <w:w w:val="105"/>
          <w:sz w:val="19"/>
        </w:rPr>
        <w:t>Advertiser (Hurstbridge),</w:t>
      </w:r>
      <w:r>
        <w:rPr>
          <w:w w:val="105"/>
          <w:sz w:val="19"/>
        </w:rPr>
        <w:t xml:space="preserve"> as cited. </w:t>
      </w:r>
    </w:p>
    <w:p w14:paraId="39FF784C" w14:textId="77777777" w:rsidR="00844A13" w:rsidRDefault="00844A13" w:rsidP="00844A13">
      <w:pPr>
        <w:rPr>
          <w:rFonts w:cs="Arial"/>
          <w:i/>
          <w:iCs/>
          <w:sz w:val="19"/>
          <w:szCs w:val="19"/>
          <w:lang w:val="en-US"/>
        </w:rPr>
      </w:pPr>
    </w:p>
    <w:p w14:paraId="00A7CF4B" w14:textId="3984E2D9" w:rsidR="00844A13" w:rsidRPr="00334453" w:rsidRDefault="00844A13" w:rsidP="00844A13">
      <w:pPr>
        <w:rPr>
          <w:rFonts w:cs="Arial"/>
          <w:sz w:val="19"/>
          <w:szCs w:val="19"/>
          <w:lang w:val="en-US"/>
        </w:rPr>
      </w:pPr>
      <w:r w:rsidRPr="00334453">
        <w:rPr>
          <w:rFonts w:cs="Arial"/>
          <w:i/>
          <w:iCs/>
          <w:sz w:val="19"/>
          <w:szCs w:val="19"/>
          <w:lang w:val="en-US"/>
        </w:rPr>
        <w:t>Argus</w:t>
      </w:r>
      <w:r w:rsidRPr="00334453">
        <w:rPr>
          <w:rFonts w:cs="Arial"/>
          <w:sz w:val="19"/>
          <w:szCs w:val="19"/>
          <w:lang w:val="en-US"/>
        </w:rPr>
        <w:t xml:space="preserve">, as cited. </w:t>
      </w:r>
    </w:p>
    <w:p w14:paraId="40C817E2" w14:textId="77777777" w:rsidR="00844A13" w:rsidRPr="00334453" w:rsidRDefault="00844A13" w:rsidP="00844A13">
      <w:pPr>
        <w:rPr>
          <w:rFonts w:cs="Arial"/>
          <w:sz w:val="19"/>
          <w:szCs w:val="19"/>
          <w:lang w:val="en-US"/>
        </w:rPr>
      </w:pPr>
    </w:p>
    <w:p w14:paraId="57491650" w14:textId="77777777" w:rsidR="00844A13" w:rsidRDefault="00844A13" w:rsidP="00844A13">
      <w:pPr>
        <w:rPr>
          <w:rFonts w:cs="Arial"/>
          <w:sz w:val="19"/>
          <w:szCs w:val="19"/>
          <w:lang w:val="en-US"/>
        </w:rPr>
      </w:pPr>
      <w:r w:rsidRPr="00334453">
        <w:rPr>
          <w:rFonts w:cs="Arial"/>
          <w:i/>
          <w:iCs/>
          <w:sz w:val="19"/>
          <w:szCs w:val="19"/>
          <w:lang w:val="en-US"/>
        </w:rPr>
        <w:t>Australasian</w:t>
      </w:r>
      <w:r w:rsidRPr="00334453">
        <w:rPr>
          <w:rFonts w:cs="Arial"/>
          <w:sz w:val="19"/>
          <w:szCs w:val="19"/>
          <w:lang w:val="en-US"/>
        </w:rPr>
        <w:t xml:space="preserve">, as cited. </w:t>
      </w:r>
    </w:p>
    <w:p w14:paraId="07DD75A2" w14:textId="77777777" w:rsidR="006F24B6" w:rsidRPr="00844A13" w:rsidRDefault="006F24B6" w:rsidP="006F24B6">
      <w:pPr>
        <w:pStyle w:val="BodyText"/>
        <w:jc w:val="both"/>
        <w:rPr>
          <w:iCs/>
          <w:w w:val="105"/>
        </w:rPr>
      </w:pPr>
    </w:p>
    <w:p w14:paraId="55F68392" w14:textId="77777777" w:rsidR="006F24B6" w:rsidRPr="00844A13" w:rsidRDefault="006F24B6" w:rsidP="006F24B6">
      <w:pPr>
        <w:pStyle w:val="BodyText"/>
        <w:jc w:val="both"/>
        <w:rPr>
          <w:iCs/>
          <w:w w:val="105"/>
        </w:rPr>
      </w:pPr>
      <w:r w:rsidRPr="00844A13">
        <w:rPr>
          <w:i/>
          <w:w w:val="105"/>
        </w:rPr>
        <w:t>Eltham and Whittlesea Shires Advertiser and Diamond Creek Valley Advocate (E&amp;WSA&amp; DCVA)</w:t>
      </w:r>
      <w:r w:rsidRPr="00844A13">
        <w:rPr>
          <w:iCs/>
          <w:w w:val="105"/>
        </w:rPr>
        <w:t xml:space="preserve">, as cited. </w:t>
      </w:r>
    </w:p>
    <w:p w14:paraId="6D2248F6" w14:textId="77777777" w:rsidR="006F24B6" w:rsidRPr="00844A13" w:rsidRDefault="006F24B6" w:rsidP="006F24B6">
      <w:pPr>
        <w:pStyle w:val="BodyText"/>
        <w:jc w:val="both"/>
        <w:rPr>
          <w:iCs/>
          <w:w w:val="105"/>
        </w:rPr>
      </w:pPr>
    </w:p>
    <w:p w14:paraId="5755E5CC" w14:textId="77777777" w:rsidR="006F24B6" w:rsidRPr="00844A13" w:rsidRDefault="006F24B6" w:rsidP="006F24B6">
      <w:pPr>
        <w:pStyle w:val="BodyText"/>
        <w:jc w:val="both"/>
        <w:rPr>
          <w:iCs/>
          <w:w w:val="105"/>
        </w:rPr>
      </w:pPr>
      <w:r w:rsidRPr="00844A13">
        <w:rPr>
          <w:i/>
          <w:w w:val="105"/>
        </w:rPr>
        <w:t>Evelyn Observer &amp; Bourke East Record (EO&amp;BER)</w:t>
      </w:r>
      <w:r w:rsidRPr="00844A13">
        <w:rPr>
          <w:iCs/>
          <w:w w:val="105"/>
        </w:rPr>
        <w:t xml:space="preserve">, as cited. </w:t>
      </w:r>
    </w:p>
    <w:p w14:paraId="155DBA9F" w14:textId="77777777" w:rsidR="006F24B6" w:rsidRPr="00637696" w:rsidRDefault="006F24B6" w:rsidP="006F24B6">
      <w:pPr>
        <w:pStyle w:val="BodyText"/>
        <w:jc w:val="both"/>
        <w:rPr>
          <w:iCs/>
          <w:u w:val="single"/>
        </w:rPr>
      </w:pPr>
    </w:p>
    <w:p w14:paraId="47CD34BC" w14:textId="77777777" w:rsidR="006F24B6" w:rsidRDefault="006F24B6" w:rsidP="006F24B6">
      <w:pPr>
        <w:pStyle w:val="BodyText"/>
        <w:jc w:val="both"/>
      </w:pPr>
      <w:r w:rsidRPr="00C705DD">
        <w:rPr>
          <w:i/>
          <w:iCs/>
        </w:rPr>
        <w:t>Evelyn Observer &amp; South &amp; East Bourke Record (EO&amp;S&amp;EBR)</w:t>
      </w:r>
      <w:r>
        <w:t xml:space="preserve">, as cited. </w:t>
      </w:r>
    </w:p>
    <w:p w14:paraId="266CFB5F" w14:textId="77777777" w:rsidR="006F24B6" w:rsidRPr="00C705DD" w:rsidRDefault="006F24B6" w:rsidP="006F24B6">
      <w:pPr>
        <w:pStyle w:val="BodyText"/>
        <w:jc w:val="both"/>
      </w:pPr>
    </w:p>
    <w:p w14:paraId="5C945C35" w14:textId="77777777" w:rsidR="006F24B6" w:rsidRPr="00911138" w:rsidRDefault="006F24B6" w:rsidP="006F24B6">
      <w:pPr>
        <w:pStyle w:val="BodyText"/>
        <w:jc w:val="both"/>
      </w:pPr>
    </w:p>
    <w:p w14:paraId="63D50924" w14:textId="2F36214F" w:rsidR="006F24B6" w:rsidRPr="00911138" w:rsidRDefault="006F24B6" w:rsidP="006F24B6">
      <w:pPr>
        <w:pStyle w:val="BodyText"/>
        <w:jc w:val="both"/>
      </w:pPr>
      <w:r w:rsidRPr="00911138">
        <w:t>Graeme Butler &amp; Associates</w:t>
      </w:r>
      <w:r w:rsidR="00096EAC">
        <w:t xml:space="preserve"> 1996</w:t>
      </w:r>
      <w:r w:rsidRPr="00911138">
        <w:t xml:space="preserve">, </w:t>
      </w:r>
      <w:r w:rsidRPr="00096EAC">
        <w:rPr>
          <w:i/>
          <w:iCs/>
        </w:rPr>
        <w:t>Nillumbik Shire Heritage Review – Environmental History</w:t>
      </w:r>
      <w:r w:rsidR="00096EAC">
        <w:t xml:space="preserve">. Shire of Nillumbik, </w:t>
      </w:r>
    </w:p>
    <w:p w14:paraId="1E723D45" w14:textId="77777777" w:rsidR="007351CE" w:rsidRDefault="007351CE" w:rsidP="007351CE">
      <w:pPr>
        <w:pStyle w:val="BodyText"/>
        <w:jc w:val="both"/>
      </w:pPr>
    </w:p>
    <w:p w14:paraId="58804A4E" w14:textId="1F1C8818" w:rsidR="007351CE" w:rsidRDefault="007351CE" w:rsidP="007351CE">
      <w:pPr>
        <w:pStyle w:val="BodyText"/>
        <w:jc w:val="both"/>
      </w:pPr>
      <w:r w:rsidRPr="00EF32BC">
        <w:t xml:space="preserve">Great Britain. War Office. General Staff. Australian Section &amp; Australia. Army. Survey Corps 1930, Victoria, Yan Yean, Govt. </w:t>
      </w:r>
      <w:r w:rsidR="00671ECB" w:rsidRPr="00EF32BC">
        <w:t>Printer,</w:t>
      </w:r>
      <w:r w:rsidRPr="00EF32BC">
        <w:t xml:space="preserve"> Melbourne</w:t>
      </w:r>
    </w:p>
    <w:p w14:paraId="19420435" w14:textId="77777777" w:rsidR="00A712A2" w:rsidRDefault="00A712A2" w:rsidP="00A712A2">
      <w:pPr>
        <w:rPr>
          <w:rStyle w:val="normaltextrun"/>
          <w:rFonts w:cs="Arial"/>
          <w:sz w:val="19"/>
          <w:szCs w:val="19"/>
          <w:lang w:val="en-US"/>
        </w:rPr>
      </w:pPr>
    </w:p>
    <w:p w14:paraId="2F94C673" w14:textId="5755FFC5" w:rsidR="00A712A2" w:rsidRPr="00334453" w:rsidRDefault="00A712A2" w:rsidP="00A712A2">
      <w:pPr>
        <w:rPr>
          <w:rStyle w:val="normaltextrun"/>
          <w:rFonts w:cs="Arial"/>
          <w:sz w:val="19"/>
          <w:szCs w:val="19"/>
          <w:lang w:val="en-US"/>
        </w:rPr>
      </w:pPr>
      <w:r w:rsidRPr="00334453">
        <w:rPr>
          <w:rStyle w:val="normaltextrun"/>
          <w:rFonts w:cs="Arial"/>
          <w:sz w:val="19"/>
          <w:szCs w:val="19"/>
          <w:lang w:val="en-US"/>
        </w:rPr>
        <w:t xml:space="preserve">Hermes Records for ‘Five Pear Trees, Apted's Glen Ard Orchard’, Shire of Nillumbik, accessed March 2022, as cited. </w:t>
      </w:r>
    </w:p>
    <w:p w14:paraId="1F5FB9E6" w14:textId="77777777" w:rsidR="00BE6D17" w:rsidRDefault="00BE6D17" w:rsidP="00BE6D17">
      <w:pPr>
        <w:pStyle w:val="BodyText"/>
        <w:jc w:val="both"/>
      </w:pPr>
    </w:p>
    <w:p w14:paraId="79D05E3D" w14:textId="590491F1" w:rsidR="00BE6D17" w:rsidRPr="00911138" w:rsidRDefault="00BE6D17" w:rsidP="00BE6D17">
      <w:pPr>
        <w:pStyle w:val="BodyText"/>
        <w:jc w:val="both"/>
      </w:pPr>
      <w:r w:rsidRPr="00911138">
        <w:t>Hicks, Paul. 1988</w:t>
      </w:r>
      <w:r w:rsidRPr="00BE6D17">
        <w:rPr>
          <w:i/>
          <w:iCs/>
        </w:rPr>
        <w:t>. Plenty Valley Historical Survey</w:t>
      </w:r>
      <w:r w:rsidRPr="00911138">
        <w:t>. Melbourne: Ministry for Planning and Environment.</w:t>
      </w:r>
    </w:p>
    <w:p w14:paraId="0A0B056F" w14:textId="77777777" w:rsidR="00A712A2" w:rsidRDefault="00A712A2" w:rsidP="00A712A2">
      <w:pPr>
        <w:rPr>
          <w:rStyle w:val="eop"/>
          <w:rFonts w:cs="Arial"/>
          <w:sz w:val="19"/>
          <w:szCs w:val="19"/>
        </w:rPr>
      </w:pPr>
    </w:p>
    <w:p w14:paraId="4A9CCB89" w14:textId="193B1115" w:rsidR="00A712A2" w:rsidRPr="00334453" w:rsidRDefault="00A712A2" w:rsidP="00A712A2">
      <w:pPr>
        <w:rPr>
          <w:rFonts w:cs="Arial"/>
          <w:i/>
          <w:iCs/>
          <w:sz w:val="19"/>
          <w:szCs w:val="19"/>
        </w:rPr>
      </w:pPr>
      <w:r w:rsidRPr="00334453">
        <w:rPr>
          <w:rStyle w:val="eop"/>
          <w:rFonts w:cs="Arial"/>
          <w:sz w:val="19"/>
          <w:szCs w:val="19"/>
        </w:rPr>
        <w:t xml:space="preserve">Hunter-Payne, G. 2009, </w:t>
      </w:r>
      <w:r w:rsidRPr="00334453">
        <w:rPr>
          <w:rStyle w:val="eop"/>
          <w:rFonts w:cs="Arial"/>
          <w:i/>
          <w:iCs/>
          <w:sz w:val="19"/>
          <w:szCs w:val="19"/>
        </w:rPr>
        <w:t xml:space="preserve">Arthurs Creek, </w:t>
      </w:r>
      <w:hyperlink r:id="rId18" w:history="1">
        <w:r w:rsidRPr="00334453">
          <w:rPr>
            <w:rStyle w:val="Hyperlink"/>
            <w:rFonts w:cs="Arial"/>
            <w:sz w:val="19"/>
            <w:szCs w:val="19"/>
          </w:rPr>
          <w:t>https://www.emelbourne.net.au/biogs/EM00093b.htm</w:t>
        </w:r>
      </w:hyperlink>
      <w:r w:rsidRPr="00334453">
        <w:rPr>
          <w:rStyle w:val="eop"/>
          <w:rFonts w:cs="Arial"/>
          <w:sz w:val="19"/>
          <w:szCs w:val="19"/>
        </w:rPr>
        <w:t xml:space="preserve">, accessed online 23 March 2022. </w:t>
      </w:r>
    </w:p>
    <w:p w14:paraId="7ECC87E3" w14:textId="77777777" w:rsidR="006F24B6" w:rsidRDefault="006F24B6" w:rsidP="006F24B6">
      <w:pPr>
        <w:pStyle w:val="BodyText"/>
        <w:jc w:val="both"/>
      </w:pPr>
    </w:p>
    <w:p w14:paraId="7A5EFF5D" w14:textId="4851B545" w:rsidR="00D424D0" w:rsidRDefault="00D424D0" w:rsidP="006F24B6">
      <w:pPr>
        <w:pStyle w:val="BodyText"/>
        <w:jc w:val="both"/>
        <w:rPr>
          <w:iCs/>
          <w:w w:val="105"/>
          <w:sz w:val="19"/>
        </w:rPr>
      </w:pPr>
      <w:r w:rsidRPr="00393374">
        <w:rPr>
          <w:i/>
          <w:w w:val="105"/>
          <w:sz w:val="19"/>
        </w:rPr>
        <w:t>Illustrated Australian News for Home Readers</w:t>
      </w:r>
      <w:r>
        <w:rPr>
          <w:iCs/>
          <w:w w:val="105"/>
          <w:sz w:val="19"/>
        </w:rPr>
        <w:t xml:space="preserve">, as cited. </w:t>
      </w:r>
    </w:p>
    <w:p w14:paraId="0B0B115E" w14:textId="77777777" w:rsidR="00D424D0" w:rsidRPr="00D424D0" w:rsidRDefault="00D424D0" w:rsidP="006F24B6">
      <w:pPr>
        <w:pStyle w:val="BodyText"/>
        <w:jc w:val="both"/>
        <w:rPr>
          <w:iCs/>
        </w:rPr>
      </w:pPr>
    </w:p>
    <w:p w14:paraId="0785F931" w14:textId="12EB78A0" w:rsidR="006F24B6" w:rsidRPr="00911138" w:rsidRDefault="006F24B6" w:rsidP="006F24B6">
      <w:pPr>
        <w:pStyle w:val="BodyText"/>
        <w:jc w:val="both"/>
      </w:pPr>
      <w:r w:rsidRPr="00911138">
        <w:t>Meredith Gould Conservation Consultants</w:t>
      </w:r>
      <w:r w:rsidR="00FC60E6">
        <w:t xml:space="preserve"> 1991</w:t>
      </w:r>
      <w:r w:rsidRPr="00911138">
        <w:t xml:space="preserve">, </w:t>
      </w:r>
      <w:r w:rsidRPr="00FC60E6">
        <w:rPr>
          <w:i/>
          <w:iCs/>
        </w:rPr>
        <w:t>Whittlesea Heritage Study prepared for the City of Whittlesea</w:t>
      </w:r>
      <w:r w:rsidRPr="00911138">
        <w:t>.</w:t>
      </w:r>
    </w:p>
    <w:p w14:paraId="39B58BAB" w14:textId="77777777" w:rsidR="006F24B6" w:rsidRDefault="006F24B6" w:rsidP="006F24B6">
      <w:pPr>
        <w:pStyle w:val="BodyText"/>
        <w:jc w:val="both"/>
      </w:pPr>
    </w:p>
    <w:p w14:paraId="5F9EE427" w14:textId="0A598C54" w:rsidR="00EE60F2" w:rsidRDefault="00EE60F2" w:rsidP="006F24B6">
      <w:pPr>
        <w:pStyle w:val="BodyText"/>
        <w:jc w:val="both"/>
      </w:pPr>
      <w:r w:rsidRPr="00EE60F2">
        <w:rPr>
          <w:i/>
          <w:iCs/>
        </w:rPr>
        <w:t>Mercury and Weekly Courier</w:t>
      </w:r>
      <w:r w:rsidR="006B0698">
        <w:t xml:space="preserve">, as cited. </w:t>
      </w:r>
    </w:p>
    <w:p w14:paraId="66DA5C50" w14:textId="77777777" w:rsidR="006B0698" w:rsidRPr="006B0698" w:rsidRDefault="006B0698" w:rsidP="006F24B6">
      <w:pPr>
        <w:pStyle w:val="BodyText"/>
        <w:jc w:val="both"/>
      </w:pPr>
    </w:p>
    <w:p w14:paraId="04BBE1D0" w14:textId="6E7F59AE" w:rsidR="006F24B6" w:rsidRPr="00911138" w:rsidRDefault="006F24B6" w:rsidP="006F24B6">
      <w:pPr>
        <w:pStyle w:val="BodyText"/>
        <w:jc w:val="both"/>
      </w:pPr>
      <w:r w:rsidRPr="00911138">
        <w:t xml:space="preserve">Murphy, James T 1971. </w:t>
      </w:r>
      <w:r w:rsidRPr="00911138">
        <w:rPr>
          <w:i/>
        </w:rPr>
        <w:t>Early settlers of Arthurs Creek, Victoria</w:t>
      </w:r>
      <w:r w:rsidRPr="00911138">
        <w:t>. Arthurs Creek, Vic.: The Author.</w:t>
      </w:r>
    </w:p>
    <w:p w14:paraId="36D28F00" w14:textId="77777777" w:rsidR="006F24B6" w:rsidRDefault="006F24B6" w:rsidP="006F24B6">
      <w:pPr>
        <w:pStyle w:val="BodyText"/>
        <w:jc w:val="both"/>
      </w:pPr>
    </w:p>
    <w:p w14:paraId="7F2B4062" w14:textId="77777777" w:rsidR="00EE60F2" w:rsidRPr="00911138" w:rsidRDefault="00EE60F2" w:rsidP="006F24B6">
      <w:pPr>
        <w:pStyle w:val="BodyText"/>
        <w:jc w:val="both"/>
      </w:pPr>
    </w:p>
    <w:p w14:paraId="46C4D3CF" w14:textId="77777777" w:rsidR="006F24B6" w:rsidRPr="00911138" w:rsidRDefault="006F24B6" w:rsidP="006F24B6">
      <w:pPr>
        <w:pStyle w:val="BodyText"/>
        <w:jc w:val="both"/>
      </w:pPr>
      <w:r w:rsidRPr="00911138">
        <w:t xml:space="preserve">Payne, J.W. 1975. </w:t>
      </w:r>
      <w:r w:rsidRPr="00911138">
        <w:rPr>
          <w:i/>
        </w:rPr>
        <w:t>The Plenty: A Centenary History of the Whittlesea Shire</w:t>
      </w:r>
      <w:r w:rsidRPr="00911138">
        <w:t>. Kilmore: Lowden.</w:t>
      </w:r>
    </w:p>
    <w:p w14:paraId="07FE79C1" w14:textId="77777777" w:rsidR="006F24B6" w:rsidRDefault="006F24B6" w:rsidP="006F24B6">
      <w:pPr>
        <w:pStyle w:val="BodyText"/>
        <w:jc w:val="both"/>
        <w:rPr>
          <w:highlight w:val="yellow"/>
        </w:rPr>
      </w:pPr>
    </w:p>
    <w:p w14:paraId="2035A77B" w14:textId="66CC23A5" w:rsidR="007351CE" w:rsidRPr="004A594A" w:rsidRDefault="007351CE" w:rsidP="006F24B6">
      <w:pPr>
        <w:pStyle w:val="BodyText"/>
        <w:jc w:val="both"/>
      </w:pPr>
      <w:r w:rsidRPr="004A594A">
        <w:t xml:space="preserve">PROV, </w:t>
      </w:r>
      <w:r w:rsidR="00EA0AB1" w:rsidRPr="004A594A">
        <w:t>VA2620</w:t>
      </w:r>
      <w:r w:rsidR="009849FD" w:rsidRPr="004A594A">
        <w:t xml:space="preserve"> Registrar of Probates, Supreme Court, VPRS 28/</w:t>
      </w:r>
      <w:r w:rsidR="002E4979" w:rsidRPr="004A594A">
        <w:t xml:space="preserve">P3 Probate and Administrative Files, File </w:t>
      </w:r>
      <w:r w:rsidR="00F97975">
        <w:t>335</w:t>
      </w:r>
      <w:r w:rsidR="002E4979" w:rsidRPr="004A594A">
        <w:t>/</w:t>
      </w:r>
      <w:r w:rsidR="00F97975">
        <w:t>441</w:t>
      </w:r>
      <w:r w:rsidR="002E4979" w:rsidRPr="004A594A">
        <w:t xml:space="preserve"> </w:t>
      </w:r>
      <w:r w:rsidR="004A594A" w:rsidRPr="004A594A">
        <w:t xml:space="preserve">probate of David Murphy. </w:t>
      </w:r>
    </w:p>
    <w:p w14:paraId="13FB56A9" w14:textId="77777777" w:rsidR="006F24B6" w:rsidRDefault="006F24B6" w:rsidP="006F24B6">
      <w:pPr>
        <w:pStyle w:val="BodyText"/>
        <w:jc w:val="both"/>
      </w:pPr>
    </w:p>
    <w:p w14:paraId="2C38488B" w14:textId="2F092E8F" w:rsidR="006F24B6" w:rsidRDefault="004A594A" w:rsidP="00F97975">
      <w:pPr>
        <w:pStyle w:val="BodyText"/>
        <w:jc w:val="both"/>
        <w:rPr>
          <w:iCs/>
          <w:w w:val="105"/>
        </w:rPr>
      </w:pPr>
      <w:r>
        <w:t>PROV, VA</w:t>
      </w:r>
      <w:r w:rsidR="000B1B44">
        <w:t>538 Department of Crown Lands and Survey,</w:t>
      </w:r>
      <w:r w:rsidR="00BF7B02">
        <w:t xml:space="preserve"> VPRS627 Land Selection Files, Section 31 land Act 1869, </w:t>
      </w:r>
      <w:r w:rsidR="00B60244">
        <w:t>File 19301 Sarah Murphy.</w:t>
      </w:r>
      <w:r w:rsidR="000B1B44">
        <w:t xml:space="preserve"> On Lot 28 D Parish of Linton. </w:t>
      </w:r>
      <w:r w:rsidR="00B60244">
        <w:t xml:space="preserve"> </w:t>
      </w:r>
    </w:p>
    <w:p w14:paraId="0643CA5A" w14:textId="77777777" w:rsidR="006F24B6" w:rsidRDefault="006F24B6" w:rsidP="006F24B6">
      <w:pPr>
        <w:pStyle w:val="BodyText"/>
        <w:jc w:val="both"/>
        <w:rPr>
          <w:iCs/>
          <w:w w:val="105"/>
        </w:rPr>
      </w:pPr>
    </w:p>
    <w:p w14:paraId="6D8BA898" w14:textId="452DECE2" w:rsidR="00695F9A" w:rsidRPr="00D424D0" w:rsidRDefault="006F24B6" w:rsidP="00D424D0">
      <w:pPr>
        <w:pStyle w:val="BodyText"/>
        <w:jc w:val="both"/>
        <w:rPr>
          <w:iCs/>
          <w:w w:val="105"/>
        </w:rPr>
        <w:sectPr w:rsidR="00695F9A" w:rsidRPr="00D424D0" w:rsidSect="00AC5324">
          <w:headerReference w:type="default" r:id="rId19"/>
          <w:footerReference w:type="default" r:id="rId20"/>
          <w:pgSz w:w="11910" w:h="16840"/>
          <w:pgMar w:top="1440" w:right="1440" w:bottom="1440" w:left="1440" w:header="718" w:footer="1459" w:gutter="0"/>
          <w:cols w:space="720"/>
        </w:sectPr>
      </w:pPr>
      <w:r>
        <w:rPr>
          <w:i/>
          <w:w w:val="105"/>
        </w:rPr>
        <w:t>Reporter (Box Hill)</w:t>
      </w:r>
      <w:r>
        <w:rPr>
          <w:iCs/>
          <w:w w:val="105"/>
        </w:rPr>
        <w:t>, as cited</w:t>
      </w:r>
      <w:r w:rsidR="00D424D0">
        <w:rPr>
          <w:iCs/>
          <w:w w:val="105"/>
        </w:rPr>
        <w:t xml:space="preserve">. </w:t>
      </w:r>
    </w:p>
    <w:p w14:paraId="6D259F9E" w14:textId="194F2809" w:rsidR="00393374" w:rsidRPr="005159DE" w:rsidRDefault="00393374" w:rsidP="00D424D0">
      <w:pPr>
        <w:pStyle w:val="Caption"/>
        <w:ind w:left="0"/>
      </w:pPr>
    </w:p>
    <w:sectPr w:rsidR="00393374" w:rsidRPr="005159DE" w:rsidSect="00AC5324">
      <w:headerReference w:type="default" r:id="rId21"/>
      <w:footerReference w:type="default" r:id="rId22"/>
      <w:pgSz w:w="11910" w:h="16840"/>
      <w:pgMar w:top="1440" w:right="1440" w:bottom="1440" w:left="1440" w:header="718" w:footer="1459"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C880B69" w14:textId="77777777" w:rsidR="005945EB" w:rsidRDefault="005945EB">
      <w:r>
        <w:separator/>
      </w:r>
    </w:p>
  </w:endnote>
  <w:endnote w:type="continuationSeparator" w:id="0">
    <w:p w14:paraId="4E044055" w14:textId="77777777" w:rsidR="005945EB" w:rsidRDefault="005945EB">
      <w:r>
        <w:continuationSeparator/>
      </w:r>
    </w:p>
  </w:endnote>
  <w:endnote w:type="continuationNotice" w:id="1">
    <w:p w14:paraId="63B8A93D" w14:textId="77777777" w:rsidR="005945EB" w:rsidRDefault="005945E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MingLiU">
    <w:altName w:val="新細明體"/>
    <w:panose1 w:val="02010601000101010101"/>
    <w:charset w:val="88"/>
    <w:family w:val="roman"/>
    <w:pitch w:val="variable"/>
    <w:sig w:usb0="A00002FF" w:usb1="28CFFCFA" w:usb2="00000016" w:usb3="00000000" w:csb0="00100001"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Franklin Gothic Book">
    <w:panose1 w:val="020B05030201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Garamond">
    <w:panose1 w:val="020204040303010108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8007400"/>
      <w:docPartObj>
        <w:docPartGallery w:val="Page Numbers (Bottom of Page)"/>
        <w:docPartUnique/>
      </w:docPartObj>
    </w:sdtPr>
    <w:sdtEndPr>
      <w:rPr>
        <w:noProof/>
      </w:rPr>
    </w:sdtEndPr>
    <w:sdtContent>
      <w:p w14:paraId="4C8F6DF2" w14:textId="4E4B45DD" w:rsidR="000A64C9" w:rsidRDefault="000A64C9">
        <w:pPr>
          <w:pStyle w:val="Footer"/>
          <w:jc w:val="center"/>
        </w:pPr>
        <w:r>
          <w:fldChar w:fldCharType="begin"/>
        </w:r>
        <w:r>
          <w:instrText xml:space="preserve"> PAGE   \* MERGEFORMAT </w:instrText>
        </w:r>
        <w:r>
          <w:fldChar w:fldCharType="separate"/>
        </w:r>
        <w:r w:rsidR="0087358A">
          <w:rPr>
            <w:noProof/>
          </w:rPr>
          <w:t>1</w:t>
        </w:r>
        <w:r>
          <w:rPr>
            <w:noProof/>
          </w:rPr>
          <w:fldChar w:fldCharType="end"/>
        </w:r>
      </w:p>
    </w:sdtContent>
  </w:sdt>
  <w:p w14:paraId="4F2CA523" w14:textId="77777777" w:rsidR="000A64C9" w:rsidRDefault="000A64C9">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035FB2" w14:textId="0A70804D" w:rsidR="009235F4" w:rsidRDefault="009235F4">
    <w:pPr>
      <w:pStyle w:val="Footer"/>
      <w:jc w:val="center"/>
    </w:pPr>
    <w:r>
      <w:fldChar w:fldCharType="begin"/>
    </w:r>
    <w:r>
      <w:instrText xml:space="preserve"> PAGE   \* MERGEFORMAT </w:instrText>
    </w:r>
    <w:r>
      <w:fldChar w:fldCharType="separate"/>
    </w:r>
    <w:r w:rsidR="0087358A">
      <w:rPr>
        <w:noProof/>
      </w:rPr>
      <w:t>12</w:t>
    </w:r>
    <w:r>
      <w:rPr>
        <w:noProof/>
      </w:rPr>
      <w:fldChar w:fldCharType="end"/>
    </w:r>
  </w:p>
  <w:p w14:paraId="7F7B09F3" w14:textId="77777777" w:rsidR="009235F4" w:rsidRDefault="009235F4">
    <w:pPr>
      <w:pStyle w:val="Footer"/>
    </w:pPr>
  </w:p>
  <w:p w14:paraId="3A93AFDF" w14:textId="77777777" w:rsidR="00BD5D69" w:rsidRDefault="00BD5D69"/>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C1B9E1C" w14:textId="77777777" w:rsidR="005945EB" w:rsidRDefault="005945EB">
      <w:r>
        <w:separator/>
      </w:r>
    </w:p>
  </w:footnote>
  <w:footnote w:type="continuationSeparator" w:id="0">
    <w:p w14:paraId="3A008C73" w14:textId="77777777" w:rsidR="005945EB" w:rsidRDefault="005945EB">
      <w:r>
        <w:continuationSeparator/>
      </w:r>
    </w:p>
  </w:footnote>
  <w:footnote w:type="continuationNotice" w:id="1">
    <w:p w14:paraId="534A5CF0" w14:textId="77777777" w:rsidR="005945EB" w:rsidRDefault="005945EB"/>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876867" w14:textId="06F7A75D" w:rsidR="00B803B9" w:rsidRDefault="008B44D6" w:rsidP="008B44D6">
    <w:pPr>
      <w:pStyle w:val="Header"/>
      <w:jc w:val="center"/>
    </w:pPr>
    <w:r w:rsidRPr="0053253F">
      <w:rPr>
        <w:noProof/>
        <w:lang w:eastAsia="en-AU"/>
      </w:rPr>
      <w:drawing>
        <wp:inline distT="0" distB="0" distL="0" distR="0" wp14:anchorId="65DC5321" wp14:editId="506E099B">
          <wp:extent cx="1390850" cy="847755"/>
          <wp:effectExtent l="0" t="0" r="0" b="0"/>
          <wp:docPr id="9" name="Picture 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Logo, company name&#10;&#10;Description automatically generated"/>
                  <pic:cNvPicPr>
                    <a:picLocks noChangeAspect="1" noChangeArrowheads="1"/>
                  </pic:cNvPicPr>
                </pic:nvPicPr>
                <pic:blipFill>
                  <a:blip r:embed="rId1">
                    <a:extLst>
                      <a:ext uri="{BEBA8EAE-BF5A-486C-A8C5-ECC9F3942E4B}">
                        <a14:imgProps xmlns:a14="http://schemas.microsoft.com/office/drawing/2010/main">
                          <a14:imgLayer r:embed="rId2">
                            <a14:imgEffect>
                              <a14:saturation sat="0"/>
                            </a14:imgEffect>
                          </a14:imgLayer>
                        </a14:imgProps>
                      </a:ext>
                      <a:ext uri="{28A0092B-C50C-407E-A947-70E740481C1C}">
                        <a14:useLocalDpi xmlns:a14="http://schemas.microsoft.com/office/drawing/2010/main" val="0"/>
                      </a:ext>
                    </a:extLst>
                  </a:blip>
                  <a:stretch>
                    <a:fillRect/>
                  </a:stretch>
                </pic:blipFill>
                <pic:spPr bwMode="auto">
                  <a:xfrm>
                    <a:off x="0" y="0"/>
                    <a:ext cx="1394151" cy="849767"/>
                  </a:xfrm>
                  <a:prstGeom prst="rect">
                    <a:avLst/>
                  </a:prstGeom>
                  <a:noFill/>
                  <a:ln>
                    <a:noFill/>
                  </a:ln>
                </pic:spPr>
              </pic:pic>
            </a:graphicData>
          </a:graphic>
        </wp:inline>
      </w:drawing>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C0AC98" w14:textId="3D801C01" w:rsidR="009235F4" w:rsidRPr="00A51763" w:rsidRDefault="009235F4" w:rsidP="0053253F">
    <w:pPr>
      <w:pStyle w:val="Header"/>
      <w:jc w:val="center"/>
    </w:pPr>
    <w:r w:rsidRPr="0053253F">
      <w:rPr>
        <w:noProof/>
        <w:lang w:eastAsia="en-AU"/>
      </w:rPr>
      <w:drawing>
        <wp:inline distT="0" distB="0" distL="0" distR="0" wp14:anchorId="796D71EE" wp14:editId="0DB39F21">
          <wp:extent cx="999490" cy="609212"/>
          <wp:effectExtent l="0" t="0" r="0"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noChangeArrowheads="1"/>
                  </pic:cNvPicPr>
                </pic:nvPicPr>
                <pic:blipFill>
                  <a:blip r:embed="rId1">
                    <a:extLst>
                      <a:ext uri="{BEBA8EAE-BF5A-486C-A8C5-ECC9F3942E4B}">
                        <a14:imgProps xmlns:a14="http://schemas.microsoft.com/office/drawing/2010/main">
                          <a14:imgLayer r:embed="rId2">
                            <a14:imgEffect>
                              <a14:saturation sat="0"/>
                            </a14:imgEffect>
                          </a14:imgLayer>
                        </a14:imgProps>
                      </a:ext>
                      <a:ext uri="{28A0092B-C50C-407E-A947-70E740481C1C}">
                        <a14:useLocalDpi xmlns:a14="http://schemas.microsoft.com/office/drawing/2010/main" val="0"/>
                      </a:ext>
                    </a:extLst>
                  </a:blip>
                  <a:stretch>
                    <a:fillRect/>
                  </a:stretch>
                </pic:blipFill>
                <pic:spPr bwMode="auto">
                  <a:xfrm>
                    <a:off x="0" y="0"/>
                    <a:ext cx="999490" cy="609212"/>
                  </a:xfrm>
                  <a:prstGeom prst="rect">
                    <a:avLst/>
                  </a:prstGeom>
                  <a:noFill/>
                  <a:ln>
                    <a:noFill/>
                  </a:ln>
                </pic:spPr>
              </pic:pic>
            </a:graphicData>
          </a:graphic>
        </wp:inline>
      </w:drawing>
    </w:r>
  </w:p>
  <w:p w14:paraId="7F9D4242" w14:textId="77777777" w:rsidR="00BD5D69" w:rsidRDefault="00BD5D69"/>
</w:hdr>
</file>

<file path=word/intelligence.xml><?xml version="1.0" encoding="utf-8"?>
<int:Intelligence xmlns:int="http://schemas.microsoft.com/office/intelligence/2019/intelligence">
  <int:IntelligenceSettings/>
  <int:Manifest/>
  <int:Observations/>
</int:Intelligence>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F2C489C"/>
    <w:multiLevelType w:val="hybridMultilevel"/>
    <w:tmpl w:val="A86245BE"/>
    <w:lvl w:ilvl="0" w:tplc="EEB8B7A6">
      <w:numFmt w:val="bullet"/>
      <w:lvlText w:val=""/>
      <w:lvlJc w:val="left"/>
      <w:pPr>
        <w:ind w:left="1610" w:hanging="360"/>
      </w:pPr>
      <w:rPr>
        <w:rFonts w:ascii="Symbol" w:eastAsia="Symbol" w:hAnsi="Symbol" w:cs="Symbol" w:hint="default"/>
        <w:b w:val="0"/>
        <w:bCs w:val="0"/>
        <w:i w:val="0"/>
        <w:iCs w:val="0"/>
        <w:w w:val="99"/>
        <w:sz w:val="20"/>
        <w:szCs w:val="20"/>
      </w:rPr>
    </w:lvl>
    <w:lvl w:ilvl="1" w:tplc="D93EBEAE">
      <w:numFmt w:val="bullet"/>
      <w:lvlText w:val="•"/>
      <w:lvlJc w:val="left"/>
      <w:pPr>
        <w:ind w:left="2452" w:hanging="360"/>
      </w:pPr>
      <w:rPr>
        <w:rFonts w:hint="default"/>
      </w:rPr>
    </w:lvl>
    <w:lvl w:ilvl="2" w:tplc="AD1A4E44">
      <w:numFmt w:val="bullet"/>
      <w:lvlText w:val="•"/>
      <w:lvlJc w:val="left"/>
      <w:pPr>
        <w:ind w:left="3285" w:hanging="360"/>
      </w:pPr>
      <w:rPr>
        <w:rFonts w:hint="default"/>
      </w:rPr>
    </w:lvl>
    <w:lvl w:ilvl="3" w:tplc="0B1EBF30">
      <w:numFmt w:val="bullet"/>
      <w:lvlText w:val="•"/>
      <w:lvlJc w:val="left"/>
      <w:pPr>
        <w:ind w:left="4117" w:hanging="360"/>
      </w:pPr>
      <w:rPr>
        <w:rFonts w:hint="default"/>
      </w:rPr>
    </w:lvl>
    <w:lvl w:ilvl="4" w:tplc="4F92E684">
      <w:numFmt w:val="bullet"/>
      <w:lvlText w:val="•"/>
      <w:lvlJc w:val="left"/>
      <w:pPr>
        <w:ind w:left="4950" w:hanging="360"/>
      </w:pPr>
      <w:rPr>
        <w:rFonts w:hint="default"/>
      </w:rPr>
    </w:lvl>
    <w:lvl w:ilvl="5" w:tplc="EA1E419C">
      <w:numFmt w:val="bullet"/>
      <w:lvlText w:val="•"/>
      <w:lvlJc w:val="left"/>
      <w:pPr>
        <w:ind w:left="5782" w:hanging="360"/>
      </w:pPr>
      <w:rPr>
        <w:rFonts w:hint="default"/>
      </w:rPr>
    </w:lvl>
    <w:lvl w:ilvl="6" w:tplc="6E307F4E">
      <w:numFmt w:val="bullet"/>
      <w:lvlText w:val="•"/>
      <w:lvlJc w:val="left"/>
      <w:pPr>
        <w:ind w:left="6615" w:hanging="360"/>
      </w:pPr>
      <w:rPr>
        <w:rFonts w:hint="default"/>
      </w:rPr>
    </w:lvl>
    <w:lvl w:ilvl="7" w:tplc="499898C8">
      <w:numFmt w:val="bullet"/>
      <w:lvlText w:val="•"/>
      <w:lvlJc w:val="left"/>
      <w:pPr>
        <w:ind w:left="7447" w:hanging="360"/>
      </w:pPr>
      <w:rPr>
        <w:rFonts w:hint="default"/>
      </w:rPr>
    </w:lvl>
    <w:lvl w:ilvl="8" w:tplc="C56C3936">
      <w:numFmt w:val="bullet"/>
      <w:lvlText w:val="•"/>
      <w:lvlJc w:val="left"/>
      <w:pPr>
        <w:ind w:left="8280" w:hanging="360"/>
      </w:pPr>
      <w:rPr>
        <w:rFonts w:hint="default"/>
      </w:rPr>
    </w:lvl>
  </w:abstractNum>
  <w:abstractNum w:abstractNumId="1" w15:restartNumberingAfterBreak="0">
    <w:nsid w:val="105E280E"/>
    <w:multiLevelType w:val="hybridMultilevel"/>
    <w:tmpl w:val="9CB0B0C0"/>
    <w:lvl w:ilvl="0" w:tplc="5F8CF1C2">
      <w:numFmt w:val="bullet"/>
      <w:lvlText w:val=""/>
      <w:lvlJc w:val="left"/>
      <w:pPr>
        <w:ind w:left="1610" w:hanging="360"/>
      </w:pPr>
      <w:rPr>
        <w:rFonts w:ascii="Symbol" w:eastAsia="Symbol" w:hAnsi="Symbol" w:cs="Symbol" w:hint="default"/>
        <w:b w:val="0"/>
        <w:bCs w:val="0"/>
        <w:i w:val="0"/>
        <w:iCs w:val="0"/>
        <w:w w:val="99"/>
        <w:sz w:val="20"/>
        <w:szCs w:val="20"/>
      </w:rPr>
    </w:lvl>
    <w:lvl w:ilvl="1" w:tplc="1F127568">
      <w:numFmt w:val="bullet"/>
      <w:lvlText w:val="•"/>
      <w:lvlJc w:val="left"/>
      <w:pPr>
        <w:ind w:left="2452" w:hanging="360"/>
      </w:pPr>
      <w:rPr>
        <w:rFonts w:hint="default"/>
      </w:rPr>
    </w:lvl>
    <w:lvl w:ilvl="2" w:tplc="ADFC1260">
      <w:numFmt w:val="bullet"/>
      <w:lvlText w:val="•"/>
      <w:lvlJc w:val="left"/>
      <w:pPr>
        <w:ind w:left="3285" w:hanging="360"/>
      </w:pPr>
      <w:rPr>
        <w:rFonts w:hint="default"/>
      </w:rPr>
    </w:lvl>
    <w:lvl w:ilvl="3" w:tplc="557E21BC">
      <w:numFmt w:val="bullet"/>
      <w:lvlText w:val="•"/>
      <w:lvlJc w:val="left"/>
      <w:pPr>
        <w:ind w:left="4117" w:hanging="360"/>
      </w:pPr>
      <w:rPr>
        <w:rFonts w:hint="default"/>
      </w:rPr>
    </w:lvl>
    <w:lvl w:ilvl="4" w:tplc="AEA22F9A">
      <w:numFmt w:val="bullet"/>
      <w:lvlText w:val="•"/>
      <w:lvlJc w:val="left"/>
      <w:pPr>
        <w:ind w:left="4950" w:hanging="360"/>
      </w:pPr>
      <w:rPr>
        <w:rFonts w:hint="default"/>
      </w:rPr>
    </w:lvl>
    <w:lvl w:ilvl="5" w:tplc="B472F3E6">
      <w:numFmt w:val="bullet"/>
      <w:lvlText w:val="•"/>
      <w:lvlJc w:val="left"/>
      <w:pPr>
        <w:ind w:left="5782" w:hanging="360"/>
      </w:pPr>
      <w:rPr>
        <w:rFonts w:hint="default"/>
      </w:rPr>
    </w:lvl>
    <w:lvl w:ilvl="6" w:tplc="66F406F8">
      <w:numFmt w:val="bullet"/>
      <w:lvlText w:val="•"/>
      <w:lvlJc w:val="left"/>
      <w:pPr>
        <w:ind w:left="6615" w:hanging="360"/>
      </w:pPr>
      <w:rPr>
        <w:rFonts w:hint="default"/>
      </w:rPr>
    </w:lvl>
    <w:lvl w:ilvl="7" w:tplc="91C24AA2">
      <w:numFmt w:val="bullet"/>
      <w:lvlText w:val="•"/>
      <w:lvlJc w:val="left"/>
      <w:pPr>
        <w:ind w:left="7447" w:hanging="360"/>
      </w:pPr>
      <w:rPr>
        <w:rFonts w:hint="default"/>
      </w:rPr>
    </w:lvl>
    <w:lvl w:ilvl="8" w:tplc="C06C85EE">
      <w:numFmt w:val="bullet"/>
      <w:lvlText w:val="•"/>
      <w:lvlJc w:val="left"/>
      <w:pPr>
        <w:ind w:left="8280" w:hanging="360"/>
      </w:pPr>
      <w:rPr>
        <w:rFonts w:hint="default"/>
      </w:rPr>
    </w:lvl>
  </w:abstractNum>
  <w:abstractNum w:abstractNumId="2" w15:restartNumberingAfterBreak="0">
    <w:nsid w:val="11A1729B"/>
    <w:multiLevelType w:val="multilevel"/>
    <w:tmpl w:val="ED4C2E40"/>
    <w:lvl w:ilvl="0">
      <w:start w:val="2"/>
      <w:numFmt w:val="decimal"/>
      <w:lvlText w:val="%1"/>
      <w:lvlJc w:val="left"/>
      <w:pPr>
        <w:ind w:left="1246" w:hanging="581"/>
      </w:pPr>
      <w:rPr>
        <w:rFonts w:hint="default"/>
      </w:rPr>
    </w:lvl>
    <w:lvl w:ilvl="1">
      <w:numFmt w:val="decimal"/>
      <w:lvlText w:val="%1.%2"/>
      <w:lvlJc w:val="left"/>
      <w:pPr>
        <w:ind w:left="1246" w:hanging="581"/>
        <w:jc w:val="right"/>
      </w:pPr>
      <w:rPr>
        <w:rFonts w:hint="default"/>
        <w:spacing w:val="-1"/>
        <w:w w:val="100"/>
      </w:rPr>
    </w:lvl>
    <w:lvl w:ilvl="2">
      <w:numFmt w:val="bullet"/>
      <w:lvlText w:val="•"/>
      <w:lvlJc w:val="left"/>
      <w:pPr>
        <w:ind w:left="2981" w:hanging="581"/>
      </w:pPr>
      <w:rPr>
        <w:rFonts w:hint="default"/>
      </w:rPr>
    </w:lvl>
    <w:lvl w:ilvl="3">
      <w:numFmt w:val="bullet"/>
      <w:lvlText w:val="•"/>
      <w:lvlJc w:val="left"/>
      <w:pPr>
        <w:ind w:left="3851" w:hanging="581"/>
      </w:pPr>
      <w:rPr>
        <w:rFonts w:hint="default"/>
      </w:rPr>
    </w:lvl>
    <w:lvl w:ilvl="4">
      <w:numFmt w:val="bullet"/>
      <w:lvlText w:val="•"/>
      <w:lvlJc w:val="left"/>
      <w:pPr>
        <w:ind w:left="4722" w:hanging="581"/>
      </w:pPr>
      <w:rPr>
        <w:rFonts w:hint="default"/>
      </w:rPr>
    </w:lvl>
    <w:lvl w:ilvl="5">
      <w:numFmt w:val="bullet"/>
      <w:lvlText w:val="•"/>
      <w:lvlJc w:val="left"/>
      <w:pPr>
        <w:ind w:left="5592" w:hanging="581"/>
      </w:pPr>
      <w:rPr>
        <w:rFonts w:hint="default"/>
      </w:rPr>
    </w:lvl>
    <w:lvl w:ilvl="6">
      <w:numFmt w:val="bullet"/>
      <w:lvlText w:val="•"/>
      <w:lvlJc w:val="left"/>
      <w:pPr>
        <w:ind w:left="6463" w:hanging="581"/>
      </w:pPr>
      <w:rPr>
        <w:rFonts w:hint="default"/>
      </w:rPr>
    </w:lvl>
    <w:lvl w:ilvl="7">
      <w:numFmt w:val="bullet"/>
      <w:lvlText w:val="•"/>
      <w:lvlJc w:val="left"/>
      <w:pPr>
        <w:ind w:left="7333" w:hanging="581"/>
      </w:pPr>
      <w:rPr>
        <w:rFonts w:hint="default"/>
      </w:rPr>
    </w:lvl>
    <w:lvl w:ilvl="8">
      <w:numFmt w:val="bullet"/>
      <w:lvlText w:val="•"/>
      <w:lvlJc w:val="left"/>
      <w:pPr>
        <w:ind w:left="8204" w:hanging="581"/>
      </w:pPr>
      <w:rPr>
        <w:rFonts w:hint="default"/>
      </w:rPr>
    </w:lvl>
  </w:abstractNum>
  <w:abstractNum w:abstractNumId="3" w15:restartNumberingAfterBreak="0">
    <w:nsid w:val="11C9707E"/>
    <w:multiLevelType w:val="hybridMultilevel"/>
    <w:tmpl w:val="AB266AEC"/>
    <w:lvl w:ilvl="0" w:tplc="3E80249A">
      <w:numFmt w:val="bullet"/>
      <w:lvlText w:val=""/>
      <w:lvlJc w:val="left"/>
      <w:pPr>
        <w:ind w:left="1610" w:hanging="348"/>
      </w:pPr>
      <w:rPr>
        <w:rFonts w:ascii="Symbol" w:eastAsia="Symbol" w:hAnsi="Symbol" w:cs="Symbol" w:hint="default"/>
        <w:b w:val="0"/>
        <w:bCs w:val="0"/>
        <w:i w:val="0"/>
        <w:iCs w:val="0"/>
        <w:w w:val="99"/>
        <w:sz w:val="20"/>
        <w:szCs w:val="20"/>
      </w:rPr>
    </w:lvl>
    <w:lvl w:ilvl="1" w:tplc="7B003F08">
      <w:numFmt w:val="bullet"/>
      <w:lvlText w:val="•"/>
      <w:lvlJc w:val="left"/>
      <w:pPr>
        <w:ind w:left="2452" w:hanging="348"/>
      </w:pPr>
      <w:rPr>
        <w:rFonts w:hint="default"/>
      </w:rPr>
    </w:lvl>
    <w:lvl w:ilvl="2" w:tplc="7FE04B70">
      <w:numFmt w:val="bullet"/>
      <w:lvlText w:val="•"/>
      <w:lvlJc w:val="left"/>
      <w:pPr>
        <w:ind w:left="3285" w:hanging="348"/>
      </w:pPr>
      <w:rPr>
        <w:rFonts w:hint="default"/>
      </w:rPr>
    </w:lvl>
    <w:lvl w:ilvl="3" w:tplc="84A665C4">
      <w:numFmt w:val="bullet"/>
      <w:lvlText w:val="•"/>
      <w:lvlJc w:val="left"/>
      <w:pPr>
        <w:ind w:left="4117" w:hanging="348"/>
      </w:pPr>
      <w:rPr>
        <w:rFonts w:hint="default"/>
      </w:rPr>
    </w:lvl>
    <w:lvl w:ilvl="4" w:tplc="8BBC555E">
      <w:numFmt w:val="bullet"/>
      <w:lvlText w:val="•"/>
      <w:lvlJc w:val="left"/>
      <w:pPr>
        <w:ind w:left="4950" w:hanging="348"/>
      </w:pPr>
      <w:rPr>
        <w:rFonts w:hint="default"/>
      </w:rPr>
    </w:lvl>
    <w:lvl w:ilvl="5" w:tplc="76CABBFC">
      <w:numFmt w:val="bullet"/>
      <w:lvlText w:val="•"/>
      <w:lvlJc w:val="left"/>
      <w:pPr>
        <w:ind w:left="5782" w:hanging="348"/>
      </w:pPr>
      <w:rPr>
        <w:rFonts w:hint="default"/>
      </w:rPr>
    </w:lvl>
    <w:lvl w:ilvl="6" w:tplc="46DCE0A4">
      <w:numFmt w:val="bullet"/>
      <w:lvlText w:val="•"/>
      <w:lvlJc w:val="left"/>
      <w:pPr>
        <w:ind w:left="6615" w:hanging="348"/>
      </w:pPr>
      <w:rPr>
        <w:rFonts w:hint="default"/>
      </w:rPr>
    </w:lvl>
    <w:lvl w:ilvl="7" w:tplc="A98A881E">
      <w:numFmt w:val="bullet"/>
      <w:lvlText w:val="•"/>
      <w:lvlJc w:val="left"/>
      <w:pPr>
        <w:ind w:left="7447" w:hanging="348"/>
      </w:pPr>
      <w:rPr>
        <w:rFonts w:hint="default"/>
      </w:rPr>
    </w:lvl>
    <w:lvl w:ilvl="8" w:tplc="51826302">
      <w:numFmt w:val="bullet"/>
      <w:lvlText w:val="•"/>
      <w:lvlJc w:val="left"/>
      <w:pPr>
        <w:ind w:left="8280" w:hanging="348"/>
      </w:pPr>
      <w:rPr>
        <w:rFonts w:hint="default"/>
      </w:rPr>
    </w:lvl>
  </w:abstractNum>
  <w:abstractNum w:abstractNumId="4" w15:restartNumberingAfterBreak="0">
    <w:nsid w:val="1C065633"/>
    <w:multiLevelType w:val="hybridMultilevel"/>
    <w:tmpl w:val="771276FC"/>
    <w:lvl w:ilvl="0" w:tplc="18F4A33C">
      <w:numFmt w:val="bullet"/>
      <w:lvlText w:val=""/>
      <w:lvlJc w:val="left"/>
      <w:pPr>
        <w:ind w:left="1610" w:hanging="360"/>
      </w:pPr>
      <w:rPr>
        <w:rFonts w:ascii="Symbol" w:eastAsia="Symbol" w:hAnsi="Symbol" w:cs="Symbol" w:hint="default"/>
        <w:b w:val="0"/>
        <w:bCs w:val="0"/>
        <w:i w:val="0"/>
        <w:iCs w:val="0"/>
        <w:w w:val="99"/>
        <w:sz w:val="20"/>
        <w:szCs w:val="20"/>
      </w:rPr>
    </w:lvl>
    <w:lvl w:ilvl="1" w:tplc="BD22752C">
      <w:numFmt w:val="bullet"/>
      <w:lvlText w:val="•"/>
      <w:lvlJc w:val="left"/>
      <w:pPr>
        <w:ind w:left="2452" w:hanging="360"/>
      </w:pPr>
      <w:rPr>
        <w:rFonts w:hint="default"/>
      </w:rPr>
    </w:lvl>
    <w:lvl w:ilvl="2" w:tplc="7BD041C4">
      <w:numFmt w:val="bullet"/>
      <w:lvlText w:val="•"/>
      <w:lvlJc w:val="left"/>
      <w:pPr>
        <w:ind w:left="3285" w:hanging="360"/>
      </w:pPr>
      <w:rPr>
        <w:rFonts w:hint="default"/>
      </w:rPr>
    </w:lvl>
    <w:lvl w:ilvl="3" w:tplc="5D4490E8">
      <w:numFmt w:val="bullet"/>
      <w:lvlText w:val="•"/>
      <w:lvlJc w:val="left"/>
      <w:pPr>
        <w:ind w:left="4117" w:hanging="360"/>
      </w:pPr>
      <w:rPr>
        <w:rFonts w:hint="default"/>
      </w:rPr>
    </w:lvl>
    <w:lvl w:ilvl="4" w:tplc="AE824482">
      <w:numFmt w:val="bullet"/>
      <w:lvlText w:val="•"/>
      <w:lvlJc w:val="left"/>
      <w:pPr>
        <w:ind w:left="4950" w:hanging="360"/>
      </w:pPr>
      <w:rPr>
        <w:rFonts w:hint="default"/>
      </w:rPr>
    </w:lvl>
    <w:lvl w:ilvl="5" w:tplc="B4C8D636">
      <w:numFmt w:val="bullet"/>
      <w:lvlText w:val="•"/>
      <w:lvlJc w:val="left"/>
      <w:pPr>
        <w:ind w:left="5782" w:hanging="360"/>
      </w:pPr>
      <w:rPr>
        <w:rFonts w:hint="default"/>
      </w:rPr>
    </w:lvl>
    <w:lvl w:ilvl="6" w:tplc="73225248">
      <w:numFmt w:val="bullet"/>
      <w:lvlText w:val="•"/>
      <w:lvlJc w:val="left"/>
      <w:pPr>
        <w:ind w:left="6615" w:hanging="360"/>
      </w:pPr>
      <w:rPr>
        <w:rFonts w:hint="default"/>
      </w:rPr>
    </w:lvl>
    <w:lvl w:ilvl="7" w:tplc="F9C6C5D4">
      <w:numFmt w:val="bullet"/>
      <w:lvlText w:val="•"/>
      <w:lvlJc w:val="left"/>
      <w:pPr>
        <w:ind w:left="7447" w:hanging="360"/>
      </w:pPr>
      <w:rPr>
        <w:rFonts w:hint="default"/>
      </w:rPr>
    </w:lvl>
    <w:lvl w:ilvl="8" w:tplc="11BE18DA">
      <w:numFmt w:val="bullet"/>
      <w:lvlText w:val="•"/>
      <w:lvlJc w:val="left"/>
      <w:pPr>
        <w:ind w:left="8280" w:hanging="360"/>
      </w:pPr>
      <w:rPr>
        <w:rFonts w:hint="default"/>
      </w:rPr>
    </w:lvl>
  </w:abstractNum>
  <w:abstractNum w:abstractNumId="5" w15:restartNumberingAfterBreak="0">
    <w:nsid w:val="24092F7D"/>
    <w:multiLevelType w:val="hybridMultilevel"/>
    <w:tmpl w:val="1E0E8156"/>
    <w:lvl w:ilvl="0" w:tplc="301AAB2A">
      <w:numFmt w:val="bullet"/>
      <w:lvlText w:val=""/>
      <w:lvlJc w:val="left"/>
      <w:pPr>
        <w:ind w:left="1610" w:hanging="360"/>
      </w:pPr>
      <w:rPr>
        <w:rFonts w:ascii="Symbol" w:eastAsia="Symbol" w:hAnsi="Symbol" w:cs="Symbol" w:hint="default"/>
        <w:b w:val="0"/>
        <w:bCs w:val="0"/>
        <w:i w:val="0"/>
        <w:iCs w:val="0"/>
        <w:w w:val="99"/>
        <w:sz w:val="20"/>
        <w:szCs w:val="20"/>
      </w:rPr>
    </w:lvl>
    <w:lvl w:ilvl="1" w:tplc="F6222F46">
      <w:numFmt w:val="bullet"/>
      <w:lvlText w:val="•"/>
      <w:lvlJc w:val="left"/>
      <w:pPr>
        <w:ind w:left="2452" w:hanging="360"/>
      </w:pPr>
      <w:rPr>
        <w:rFonts w:hint="default"/>
      </w:rPr>
    </w:lvl>
    <w:lvl w:ilvl="2" w:tplc="D7348158">
      <w:numFmt w:val="bullet"/>
      <w:lvlText w:val="•"/>
      <w:lvlJc w:val="left"/>
      <w:pPr>
        <w:ind w:left="3285" w:hanging="360"/>
      </w:pPr>
      <w:rPr>
        <w:rFonts w:hint="default"/>
      </w:rPr>
    </w:lvl>
    <w:lvl w:ilvl="3" w:tplc="944CB018">
      <w:numFmt w:val="bullet"/>
      <w:lvlText w:val="•"/>
      <w:lvlJc w:val="left"/>
      <w:pPr>
        <w:ind w:left="4117" w:hanging="360"/>
      </w:pPr>
      <w:rPr>
        <w:rFonts w:hint="default"/>
      </w:rPr>
    </w:lvl>
    <w:lvl w:ilvl="4" w:tplc="1228D13C">
      <w:numFmt w:val="bullet"/>
      <w:lvlText w:val="•"/>
      <w:lvlJc w:val="left"/>
      <w:pPr>
        <w:ind w:left="4950" w:hanging="360"/>
      </w:pPr>
      <w:rPr>
        <w:rFonts w:hint="default"/>
      </w:rPr>
    </w:lvl>
    <w:lvl w:ilvl="5" w:tplc="80F81856">
      <w:numFmt w:val="bullet"/>
      <w:lvlText w:val="•"/>
      <w:lvlJc w:val="left"/>
      <w:pPr>
        <w:ind w:left="5782" w:hanging="360"/>
      </w:pPr>
      <w:rPr>
        <w:rFonts w:hint="default"/>
      </w:rPr>
    </w:lvl>
    <w:lvl w:ilvl="6" w:tplc="0D9A468C">
      <w:numFmt w:val="bullet"/>
      <w:lvlText w:val="•"/>
      <w:lvlJc w:val="left"/>
      <w:pPr>
        <w:ind w:left="6615" w:hanging="360"/>
      </w:pPr>
      <w:rPr>
        <w:rFonts w:hint="default"/>
      </w:rPr>
    </w:lvl>
    <w:lvl w:ilvl="7" w:tplc="FE4658FA">
      <w:numFmt w:val="bullet"/>
      <w:lvlText w:val="•"/>
      <w:lvlJc w:val="left"/>
      <w:pPr>
        <w:ind w:left="7447" w:hanging="360"/>
      </w:pPr>
      <w:rPr>
        <w:rFonts w:hint="default"/>
      </w:rPr>
    </w:lvl>
    <w:lvl w:ilvl="8" w:tplc="E40A166A">
      <w:numFmt w:val="bullet"/>
      <w:lvlText w:val="•"/>
      <w:lvlJc w:val="left"/>
      <w:pPr>
        <w:ind w:left="8280" w:hanging="360"/>
      </w:pPr>
      <w:rPr>
        <w:rFonts w:hint="default"/>
      </w:rPr>
    </w:lvl>
  </w:abstractNum>
  <w:abstractNum w:abstractNumId="6" w15:restartNumberingAfterBreak="0">
    <w:nsid w:val="26B0673B"/>
    <w:multiLevelType w:val="hybridMultilevel"/>
    <w:tmpl w:val="1280F744"/>
    <w:lvl w:ilvl="0" w:tplc="9DCC49A2">
      <w:numFmt w:val="bullet"/>
      <w:lvlText w:val=""/>
      <w:lvlJc w:val="left"/>
      <w:pPr>
        <w:ind w:left="1610" w:hanging="360"/>
      </w:pPr>
      <w:rPr>
        <w:rFonts w:ascii="Symbol" w:eastAsia="Symbol" w:hAnsi="Symbol" w:cs="Symbol" w:hint="default"/>
        <w:b w:val="0"/>
        <w:bCs w:val="0"/>
        <w:i w:val="0"/>
        <w:iCs w:val="0"/>
        <w:w w:val="99"/>
        <w:sz w:val="20"/>
        <w:szCs w:val="20"/>
      </w:rPr>
    </w:lvl>
    <w:lvl w:ilvl="1" w:tplc="327AD108">
      <w:numFmt w:val="bullet"/>
      <w:lvlText w:val="•"/>
      <w:lvlJc w:val="left"/>
      <w:pPr>
        <w:ind w:left="2452" w:hanging="360"/>
      </w:pPr>
      <w:rPr>
        <w:rFonts w:hint="default"/>
      </w:rPr>
    </w:lvl>
    <w:lvl w:ilvl="2" w:tplc="D5EA08EA">
      <w:numFmt w:val="bullet"/>
      <w:lvlText w:val="•"/>
      <w:lvlJc w:val="left"/>
      <w:pPr>
        <w:ind w:left="3285" w:hanging="360"/>
      </w:pPr>
      <w:rPr>
        <w:rFonts w:hint="default"/>
      </w:rPr>
    </w:lvl>
    <w:lvl w:ilvl="3" w:tplc="474245E2">
      <w:numFmt w:val="bullet"/>
      <w:lvlText w:val="•"/>
      <w:lvlJc w:val="left"/>
      <w:pPr>
        <w:ind w:left="4117" w:hanging="360"/>
      </w:pPr>
      <w:rPr>
        <w:rFonts w:hint="default"/>
      </w:rPr>
    </w:lvl>
    <w:lvl w:ilvl="4" w:tplc="68FC2D70">
      <w:numFmt w:val="bullet"/>
      <w:lvlText w:val="•"/>
      <w:lvlJc w:val="left"/>
      <w:pPr>
        <w:ind w:left="4950" w:hanging="360"/>
      </w:pPr>
      <w:rPr>
        <w:rFonts w:hint="default"/>
      </w:rPr>
    </w:lvl>
    <w:lvl w:ilvl="5" w:tplc="8DB252D4">
      <w:numFmt w:val="bullet"/>
      <w:lvlText w:val="•"/>
      <w:lvlJc w:val="left"/>
      <w:pPr>
        <w:ind w:left="5782" w:hanging="360"/>
      </w:pPr>
      <w:rPr>
        <w:rFonts w:hint="default"/>
      </w:rPr>
    </w:lvl>
    <w:lvl w:ilvl="6" w:tplc="12548B3C">
      <w:numFmt w:val="bullet"/>
      <w:lvlText w:val="•"/>
      <w:lvlJc w:val="left"/>
      <w:pPr>
        <w:ind w:left="6615" w:hanging="360"/>
      </w:pPr>
      <w:rPr>
        <w:rFonts w:hint="default"/>
      </w:rPr>
    </w:lvl>
    <w:lvl w:ilvl="7" w:tplc="0C765F3E">
      <w:numFmt w:val="bullet"/>
      <w:lvlText w:val="•"/>
      <w:lvlJc w:val="left"/>
      <w:pPr>
        <w:ind w:left="7447" w:hanging="360"/>
      </w:pPr>
      <w:rPr>
        <w:rFonts w:hint="default"/>
      </w:rPr>
    </w:lvl>
    <w:lvl w:ilvl="8" w:tplc="334E8EAE">
      <w:numFmt w:val="bullet"/>
      <w:lvlText w:val="•"/>
      <w:lvlJc w:val="left"/>
      <w:pPr>
        <w:ind w:left="8280" w:hanging="360"/>
      </w:pPr>
      <w:rPr>
        <w:rFonts w:hint="default"/>
      </w:rPr>
    </w:lvl>
  </w:abstractNum>
  <w:abstractNum w:abstractNumId="7" w15:restartNumberingAfterBreak="0">
    <w:nsid w:val="27040FB7"/>
    <w:multiLevelType w:val="multilevel"/>
    <w:tmpl w:val="37040F36"/>
    <w:lvl w:ilvl="0">
      <w:start w:val="1"/>
      <w:numFmt w:val="decimal"/>
      <w:lvlText w:val="%1"/>
      <w:lvlJc w:val="left"/>
      <w:pPr>
        <w:ind w:left="1092" w:hanging="608"/>
      </w:pPr>
      <w:rPr>
        <w:rFonts w:hint="default"/>
      </w:rPr>
    </w:lvl>
    <w:lvl w:ilvl="1">
      <w:numFmt w:val="decimal"/>
      <w:lvlText w:val="%1.%2"/>
      <w:lvlJc w:val="left"/>
      <w:pPr>
        <w:ind w:left="1092" w:hanging="608"/>
        <w:jc w:val="right"/>
      </w:pPr>
      <w:rPr>
        <w:rFonts w:hint="default"/>
        <w:spacing w:val="-1"/>
        <w:w w:val="100"/>
      </w:rPr>
    </w:lvl>
    <w:lvl w:ilvl="2">
      <w:numFmt w:val="bullet"/>
      <w:lvlText w:val="•"/>
      <w:lvlJc w:val="left"/>
      <w:pPr>
        <w:ind w:left="2869" w:hanging="608"/>
      </w:pPr>
      <w:rPr>
        <w:rFonts w:hint="default"/>
      </w:rPr>
    </w:lvl>
    <w:lvl w:ilvl="3">
      <w:numFmt w:val="bullet"/>
      <w:lvlText w:val="•"/>
      <w:lvlJc w:val="left"/>
      <w:pPr>
        <w:ind w:left="3753" w:hanging="608"/>
      </w:pPr>
      <w:rPr>
        <w:rFonts w:hint="default"/>
      </w:rPr>
    </w:lvl>
    <w:lvl w:ilvl="4">
      <w:numFmt w:val="bullet"/>
      <w:lvlText w:val="•"/>
      <w:lvlJc w:val="left"/>
      <w:pPr>
        <w:ind w:left="4638" w:hanging="608"/>
      </w:pPr>
      <w:rPr>
        <w:rFonts w:hint="default"/>
      </w:rPr>
    </w:lvl>
    <w:lvl w:ilvl="5">
      <w:numFmt w:val="bullet"/>
      <w:lvlText w:val="•"/>
      <w:lvlJc w:val="left"/>
      <w:pPr>
        <w:ind w:left="5522" w:hanging="608"/>
      </w:pPr>
      <w:rPr>
        <w:rFonts w:hint="default"/>
      </w:rPr>
    </w:lvl>
    <w:lvl w:ilvl="6">
      <w:numFmt w:val="bullet"/>
      <w:lvlText w:val="•"/>
      <w:lvlJc w:val="left"/>
      <w:pPr>
        <w:ind w:left="6407" w:hanging="608"/>
      </w:pPr>
      <w:rPr>
        <w:rFonts w:hint="default"/>
      </w:rPr>
    </w:lvl>
    <w:lvl w:ilvl="7">
      <w:numFmt w:val="bullet"/>
      <w:lvlText w:val="•"/>
      <w:lvlJc w:val="left"/>
      <w:pPr>
        <w:ind w:left="7291" w:hanging="608"/>
      </w:pPr>
      <w:rPr>
        <w:rFonts w:hint="default"/>
      </w:rPr>
    </w:lvl>
    <w:lvl w:ilvl="8">
      <w:numFmt w:val="bullet"/>
      <w:lvlText w:val="•"/>
      <w:lvlJc w:val="left"/>
      <w:pPr>
        <w:ind w:left="8176" w:hanging="608"/>
      </w:pPr>
      <w:rPr>
        <w:rFonts w:hint="default"/>
      </w:rPr>
    </w:lvl>
  </w:abstractNum>
  <w:abstractNum w:abstractNumId="8" w15:restartNumberingAfterBreak="0">
    <w:nsid w:val="349E43BB"/>
    <w:multiLevelType w:val="hybridMultilevel"/>
    <w:tmpl w:val="55309776"/>
    <w:lvl w:ilvl="0" w:tplc="ED64952C">
      <w:numFmt w:val="bullet"/>
      <w:lvlText w:val=""/>
      <w:lvlJc w:val="left"/>
      <w:pPr>
        <w:ind w:left="478" w:hanging="361"/>
      </w:pPr>
      <w:rPr>
        <w:rFonts w:ascii="Symbol" w:eastAsia="Symbol" w:hAnsi="Symbol" w:cs="Symbol" w:hint="default"/>
        <w:b w:val="0"/>
        <w:bCs w:val="0"/>
        <w:i w:val="0"/>
        <w:iCs w:val="0"/>
        <w:w w:val="100"/>
        <w:sz w:val="20"/>
        <w:szCs w:val="20"/>
      </w:rPr>
    </w:lvl>
    <w:lvl w:ilvl="1" w:tplc="637A97F8">
      <w:numFmt w:val="bullet"/>
      <w:lvlText w:val=""/>
      <w:lvlJc w:val="left"/>
      <w:pPr>
        <w:ind w:left="915" w:hanging="360"/>
      </w:pPr>
      <w:rPr>
        <w:rFonts w:ascii="Symbol" w:eastAsia="Symbol" w:hAnsi="Symbol" w:cs="Symbol" w:hint="default"/>
        <w:b w:val="0"/>
        <w:bCs w:val="0"/>
        <w:i w:val="0"/>
        <w:iCs w:val="0"/>
        <w:w w:val="103"/>
        <w:sz w:val="19"/>
        <w:szCs w:val="19"/>
      </w:rPr>
    </w:lvl>
    <w:lvl w:ilvl="2" w:tplc="84A41C60">
      <w:numFmt w:val="bullet"/>
      <w:lvlText w:val="•"/>
      <w:lvlJc w:val="left"/>
      <w:pPr>
        <w:ind w:left="1922" w:hanging="360"/>
      </w:pPr>
      <w:rPr>
        <w:rFonts w:hint="default"/>
      </w:rPr>
    </w:lvl>
    <w:lvl w:ilvl="3" w:tplc="D0886F84">
      <w:numFmt w:val="bullet"/>
      <w:lvlText w:val="•"/>
      <w:lvlJc w:val="left"/>
      <w:pPr>
        <w:ind w:left="2925" w:hanging="360"/>
      </w:pPr>
      <w:rPr>
        <w:rFonts w:hint="default"/>
      </w:rPr>
    </w:lvl>
    <w:lvl w:ilvl="4" w:tplc="8A461E8C">
      <w:numFmt w:val="bullet"/>
      <w:lvlText w:val="•"/>
      <w:lvlJc w:val="left"/>
      <w:pPr>
        <w:ind w:left="3928" w:hanging="360"/>
      </w:pPr>
      <w:rPr>
        <w:rFonts w:hint="default"/>
      </w:rPr>
    </w:lvl>
    <w:lvl w:ilvl="5" w:tplc="66065504">
      <w:numFmt w:val="bullet"/>
      <w:lvlText w:val="•"/>
      <w:lvlJc w:val="left"/>
      <w:pPr>
        <w:ind w:left="4931" w:hanging="360"/>
      </w:pPr>
      <w:rPr>
        <w:rFonts w:hint="default"/>
      </w:rPr>
    </w:lvl>
    <w:lvl w:ilvl="6" w:tplc="DCF64F98">
      <w:numFmt w:val="bullet"/>
      <w:lvlText w:val="•"/>
      <w:lvlJc w:val="left"/>
      <w:pPr>
        <w:ind w:left="5934" w:hanging="360"/>
      </w:pPr>
      <w:rPr>
        <w:rFonts w:hint="default"/>
      </w:rPr>
    </w:lvl>
    <w:lvl w:ilvl="7" w:tplc="FD42723E">
      <w:numFmt w:val="bullet"/>
      <w:lvlText w:val="•"/>
      <w:lvlJc w:val="left"/>
      <w:pPr>
        <w:ind w:left="6937" w:hanging="360"/>
      </w:pPr>
      <w:rPr>
        <w:rFonts w:hint="default"/>
      </w:rPr>
    </w:lvl>
    <w:lvl w:ilvl="8" w:tplc="382097AE">
      <w:numFmt w:val="bullet"/>
      <w:lvlText w:val="•"/>
      <w:lvlJc w:val="left"/>
      <w:pPr>
        <w:ind w:left="7939" w:hanging="360"/>
      </w:pPr>
      <w:rPr>
        <w:rFonts w:hint="default"/>
      </w:rPr>
    </w:lvl>
  </w:abstractNum>
  <w:abstractNum w:abstractNumId="9" w15:restartNumberingAfterBreak="0">
    <w:nsid w:val="3C8A31E1"/>
    <w:multiLevelType w:val="multilevel"/>
    <w:tmpl w:val="A3FC95B8"/>
    <w:lvl w:ilvl="0">
      <w:start w:val="1"/>
      <w:numFmt w:val="decimal"/>
      <w:lvlText w:val="%1"/>
      <w:lvlJc w:val="left"/>
      <w:pPr>
        <w:ind w:left="1085" w:hanging="608"/>
      </w:pPr>
      <w:rPr>
        <w:rFonts w:hint="default"/>
      </w:rPr>
    </w:lvl>
    <w:lvl w:ilvl="1">
      <w:numFmt w:val="decimal"/>
      <w:lvlText w:val="%1.%2"/>
      <w:lvlJc w:val="left"/>
      <w:pPr>
        <w:ind w:left="1085" w:hanging="608"/>
        <w:jc w:val="right"/>
      </w:pPr>
      <w:rPr>
        <w:rFonts w:hint="default"/>
        <w:spacing w:val="-1"/>
        <w:w w:val="100"/>
      </w:rPr>
    </w:lvl>
    <w:lvl w:ilvl="2">
      <w:numFmt w:val="bullet"/>
      <w:lvlText w:val="•"/>
      <w:lvlJc w:val="left"/>
      <w:pPr>
        <w:ind w:left="2853" w:hanging="608"/>
      </w:pPr>
      <w:rPr>
        <w:rFonts w:hint="default"/>
      </w:rPr>
    </w:lvl>
    <w:lvl w:ilvl="3">
      <w:numFmt w:val="bullet"/>
      <w:lvlText w:val="•"/>
      <w:lvlJc w:val="left"/>
      <w:pPr>
        <w:ind w:left="3739" w:hanging="608"/>
      </w:pPr>
      <w:rPr>
        <w:rFonts w:hint="default"/>
      </w:rPr>
    </w:lvl>
    <w:lvl w:ilvl="4">
      <w:numFmt w:val="bullet"/>
      <w:lvlText w:val="•"/>
      <w:lvlJc w:val="left"/>
      <w:pPr>
        <w:ind w:left="4626" w:hanging="608"/>
      </w:pPr>
      <w:rPr>
        <w:rFonts w:hint="default"/>
      </w:rPr>
    </w:lvl>
    <w:lvl w:ilvl="5">
      <w:numFmt w:val="bullet"/>
      <w:lvlText w:val="•"/>
      <w:lvlJc w:val="left"/>
      <w:pPr>
        <w:ind w:left="5512" w:hanging="608"/>
      </w:pPr>
      <w:rPr>
        <w:rFonts w:hint="default"/>
      </w:rPr>
    </w:lvl>
    <w:lvl w:ilvl="6">
      <w:numFmt w:val="bullet"/>
      <w:lvlText w:val="•"/>
      <w:lvlJc w:val="left"/>
      <w:pPr>
        <w:ind w:left="6399" w:hanging="608"/>
      </w:pPr>
      <w:rPr>
        <w:rFonts w:hint="default"/>
      </w:rPr>
    </w:lvl>
    <w:lvl w:ilvl="7">
      <w:numFmt w:val="bullet"/>
      <w:lvlText w:val="•"/>
      <w:lvlJc w:val="left"/>
      <w:pPr>
        <w:ind w:left="7285" w:hanging="608"/>
      </w:pPr>
      <w:rPr>
        <w:rFonts w:hint="default"/>
      </w:rPr>
    </w:lvl>
    <w:lvl w:ilvl="8">
      <w:numFmt w:val="bullet"/>
      <w:lvlText w:val="•"/>
      <w:lvlJc w:val="left"/>
      <w:pPr>
        <w:ind w:left="8172" w:hanging="608"/>
      </w:pPr>
      <w:rPr>
        <w:rFonts w:hint="default"/>
      </w:rPr>
    </w:lvl>
  </w:abstractNum>
  <w:abstractNum w:abstractNumId="10" w15:restartNumberingAfterBreak="0">
    <w:nsid w:val="4078024B"/>
    <w:multiLevelType w:val="multilevel"/>
    <w:tmpl w:val="4C2A6650"/>
    <w:lvl w:ilvl="0">
      <w:start w:val="2"/>
      <w:numFmt w:val="decimal"/>
      <w:lvlText w:val="%1"/>
      <w:lvlJc w:val="left"/>
      <w:pPr>
        <w:ind w:left="740" w:hanging="608"/>
      </w:pPr>
      <w:rPr>
        <w:rFonts w:hint="default"/>
      </w:rPr>
    </w:lvl>
    <w:lvl w:ilvl="1">
      <w:numFmt w:val="decimal"/>
      <w:lvlText w:val="%1.%2"/>
      <w:lvlJc w:val="left"/>
      <w:pPr>
        <w:ind w:left="740" w:hanging="608"/>
        <w:jc w:val="right"/>
      </w:pPr>
      <w:rPr>
        <w:rFonts w:hint="default"/>
        <w:w w:val="100"/>
      </w:rPr>
    </w:lvl>
    <w:lvl w:ilvl="2">
      <w:numFmt w:val="bullet"/>
      <w:lvlText w:val="•"/>
      <w:lvlJc w:val="left"/>
      <w:pPr>
        <w:ind w:left="2469" w:hanging="608"/>
      </w:pPr>
      <w:rPr>
        <w:rFonts w:hint="default"/>
      </w:rPr>
    </w:lvl>
    <w:lvl w:ilvl="3">
      <w:numFmt w:val="bullet"/>
      <w:lvlText w:val="•"/>
      <w:lvlJc w:val="left"/>
      <w:pPr>
        <w:ind w:left="3333" w:hanging="608"/>
      </w:pPr>
      <w:rPr>
        <w:rFonts w:hint="default"/>
      </w:rPr>
    </w:lvl>
    <w:lvl w:ilvl="4">
      <w:numFmt w:val="bullet"/>
      <w:lvlText w:val="•"/>
      <w:lvlJc w:val="left"/>
      <w:pPr>
        <w:ind w:left="4198" w:hanging="608"/>
      </w:pPr>
      <w:rPr>
        <w:rFonts w:hint="default"/>
      </w:rPr>
    </w:lvl>
    <w:lvl w:ilvl="5">
      <w:numFmt w:val="bullet"/>
      <w:lvlText w:val="•"/>
      <w:lvlJc w:val="left"/>
      <w:pPr>
        <w:ind w:left="5062" w:hanging="608"/>
      </w:pPr>
      <w:rPr>
        <w:rFonts w:hint="default"/>
      </w:rPr>
    </w:lvl>
    <w:lvl w:ilvl="6">
      <w:numFmt w:val="bullet"/>
      <w:lvlText w:val="•"/>
      <w:lvlJc w:val="left"/>
      <w:pPr>
        <w:ind w:left="5927" w:hanging="608"/>
      </w:pPr>
      <w:rPr>
        <w:rFonts w:hint="default"/>
      </w:rPr>
    </w:lvl>
    <w:lvl w:ilvl="7">
      <w:numFmt w:val="bullet"/>
      <w:lvlText w:val="•"/>
      <w:lvlJc w:val="left"/>
      <w:pPr>
        <w:ind w:left="6792" w:hanging="608"/>
      </w:pPr>
      <w:rPr>
        <w:rFonts w:hint="default"/>
      </w:rPr>
    </w:lvl>
    <w:lvl w:ilvl="8">
      <w:numFmt w:val="bullet"/>
      <w:lvlText w:val="•"/>
      <w:lvlJc w:val="left"/>
      <w:pPr>
        <w:ind w:left="7656" w:hanging="608"/>
      </w:pPr>
      <w:rPr>
        <w:rFonts w:hint="default"/>
      </w:rPr>
    </w:lvl>
  </w:abstractNum>
  <w:abstractNum w:abstractNumId="11" w15:restartNumberingAfterBreak="0">
    <w:nsid w:val="41883B4C"/>
    <w:multiLevelType w:val="hybridMultilevel"/>
    <w:tmpl w:val="FF646592"/>
    <w:lvl w:ilvl="0" w:tplc="110421CC">
      <w:numFmt w:val="bullet"/>
      <w:lvlText w:val=""/>
      <w:lvlJc w:val="left"/>
      <w:pPr>
        <w:ind w:left="1618" w:hanging="346"/>
      </w:pPr>
      <w:rPr>
        <w:rFonts w:ascii="Symbol" w:eastAsia="Symbol" w:hAnsi="Symbol" w:cs="Symbol" w:hint="default"/>
        <w:b w:val="0"/>
        <w:bCs w:val="0"/>
        <w:i w:val="0"/>
        <w:iCs w:val="0"/>
        <w:w w:val="103"/>
        <w:sz w:val="19"/>
        <w:szCs w:val="19"/>
      </w:rPr>
    </w:lvl>
    <w:lvl w:ilvl="1" w:tplc="FA32E454">
      <w:numFmt w:val="bullet"/>
      <w:lvlText w:val="•"/>
      <w:lvlJc w:val="left"/>
      <w:pPr>
        <w:ind w:left="2452" w:hanging="346"/>
      </w:pPr>
      <w:rPr>
        <w:rFonts w:hint="default"/>
      </w:rPr>
    </w:lvl>
    <w:lvl w:ilvl="2" w:tplc="1744DB82">
      <w:numFmt w:val="bullet"/>
      <w:lvlText w:val="•"/>
      <w:lvlJc w:val="left"/>
      <w:pPr>
        <w:ind w:left="3285" w:hanging="346"/>
      </w:pPr>
      <w:rPr>
        <w:rFonts w:hint="default"/>
      </w:rPr>
    </w:lvl>
    <w:lvl w:ilvl="3" w:tplc="CDCA39FC">
      <w:numFmt w:val="bullet"/>
      <w:lvlText w:val="•"/>
      <w:lvlJc w:val="left"/>
      <w:pPr>
        <w:ind w:left="4117" w:hanging="346"/>
      </w:pPr>
      <w:rPr>
        <w:rFonts w:hint="default"/>
      </w:rPr>
    </w:lvl>
    <w:lvl w:ilvl="4" w:tplc="015466E0">
      <w:numFmt w:val="bullet"/>
      <w:lvlText w:val="•"/>
      <w:lvlJc w:val="left"/>
      <w:pPr>
        <w:ind w:left="4950" w:hanging="346"/>
      </w:pPr>
      <w:rPr>
        <w:rFonts w:hint="default"/>
      </w:rPr>
    </w:lvl>
    <w:lvl w:ilvl="5" w:tplc="2DCE8886">
      <w:numFmt w:val="bullet"/>
      <w:lvlText w:val="•"/>
      <w:lvlJc w:val="left"/>
      <w:pPr>
        <w:ind w:left="5782" w:hanging="346"/>
      </w:pPr>
      <w:rPr>
        <w:rFonts w:hint="default"/>
      </w:rPr>
    </w:lvl>
    <w:lvl w:ilvl="6" w:tplc="F2929510">
      <w:numFmt w:val="bullet"/>
      <w:lvlText w:val="•"/>
      <w:lvlJc w:val="left"/>
      <w:pPr>
        <w:ind w:left="6615" w:hanging="346"/>
      </w:pPr>
      <w:rPr>
        <w:rFonts w:hint="default"/>
      </w:rPr>
    </w:lvl>
    <w:lvl w:ilvl="7" w:tplc="1A92B9F2">
      <w:numFmt w:val="bullet"/>
      <w:lvlText w:val="•"/>
      <w:lvlJc w:val="left"/>
      <w:pPr>
        <w:ind w:left="7447" w:hanging="346"/>
      </w:pPr>
      <w:rPr>
        <w:rFonts w:hint="default"/>
      </w:rPr>
    </w:lvl>
    <w:lvl w:ilvl="8" w:tplc="1172B094">
      <w:numFmt w:val="bullet"/>
      <w:lvlText w:val="•"/>
      <w:lvlJc w:val="left"/>
      <w:pPr>
        <w:ind w:left="8280" w:hanging="346"/>
      </w:pPr>
      <w:rPr>
        <w:rFonts w:hint="default"/>
      </w:rPr>
    </w:lvl>
  </w:abstractNum>
  <w:abstractNum w:abstractNumId="12" w15:restartNumberingAfterBreak="0">
    <w:nsid w:val="42D65915"/>
    <w:multiLevelType w:val="hybridMultilevel"/>
    <w:tmpl w:val="A94EB9F8"/>
    <w:lvl w:ilvl="0" w:tplc="10641C1C">
      <w:numFmt w:val="bullet"/>
      <w:lvlText w:val=""/>
      <w:lvlJc w:val="left"/>
      <w:pPr>
        <w:ind w:left="1610" w:hanging="360"/>
      </w:pPr>
      <w:rPr>
        <w:rFonts w:ascii="Symbol" w:eastAsia="Symbol" w:hAnsi="Symbol" w:cs="Symbol" w:hint="default"/>
        <w:b w:val="0"/>
        <w:bCs w:val="0"/>
        <w:i w:val="0"/>
        <w:iCs w:val="0"/>
        <w:w w:val="99"/>
        <w:sz w:val="20"/>
        <w:szCs w:val="20"/>
      </w:rPr>
    </w:lvl>
    <w:lvl w:ilvl="1" w:tplc="D2CA3766">
      <w:numFmt w:val="bullet"/>
      <w:lvlText w:val="•"/>
      <w:lvlJc w:val="left"/>
      <w:pPr>
        <w:ind w:left="2452" w:hanging="360"/>
      </w:pPr>
      <w:rPr>
        <w:rFonts w:hint="default"/>
      </w:rPr>
    </w:lvl>
    <w:lvl w:ilvl="2" w:tplc="97BE03B0">
      <w:numFmt w:val="bullet"/>
      <w:lvlText w:val="•"/>
      <w:lvlJc w:val="left"/>
      <w:pPr>
        <w:ind w:left="3285" w:hanging="360"/>
      </w:pPr>
      <w:rPr>
        <w:rFonts w:hint="default"/>
      </w:rPr>
    </w:lvl>
    <w:lvl w:ilvl="3" w:tplc="AFA4B822">
      <w:numFmt w:val="bullet"/>
      <w:lvlText w:val="•"/>
      <w:lvlJc w:val="left"/>
      <w:pPr>
        <w:ind w:left="4117" w:hanging="360"/>
      </w:pPr>
      <w:rPr>
        <w:rFonts w:hint="default"/>
      </w:rPr>
    </w:lvl>
    <w:lvl w:ilvl="4" w:tplc="76EE1FB2">
      <w:numFmt w:val="bullet"/>
      <w:lvlText w:val="•"/>
      <w:lvlJc w:val="left"/>
      <w:pPr>
        <w:ind w:left="4950" w:hanging="360"/>
      </w:pPr>
      <w:rPr>
        <w:rFonts w:hint="default"/>
      </w:rPr>
    </w:lvl>
    <w:lvl w:ilvl="5" w:tplc="51E0869E">
      <w:numFmt w:val="bullet"/>
      <w:lvlText w:val="•"/>
      <w:lvlJc w:val="left"/>
      <w:pPr>
        <w:ind w:left="5782" w:hanging="360"/>
      </w:pPr>
      <w:rPr>
        <w:rFonts w:hint="default"/>
      </w:rPr>
    </w:lvl>
    <w:lvl w:ilvl="6" w:tplc="EB4AF706">
      <w:numFmt w:val="bullet"/>
      <w:lvlText w:val="•"/>
      <w:lvlJc w:val="left"/>
      <w:pPr>
        <w:ind w:left="6615" w:hanging="360"/>
      </w:pPr>
      <w:rPr>
        <w:rFonts w:hint="default"/>
      </w:rPr>
    </w:lvl>
    <w:lvl w:ilvl="7" w:tplc="323C8E62">
      <w:numFmt w:val="bullet"/>
      <w:lvlText w:val="•"/>
      <w:lvlJc w:val="left"/>
      <w:pPr>
        <w:ind w:left="7447" w:hanging="360"/>
      </w:pPr>
      <w:rPr>
        <w:rFonts w:hint="default"/>
      </w:rPr>
    </w:lvl>
    <w:lvl w:ilvl="8" w:tplc="DA708D36">
      <w:numFmt w:val="bullet"/>
      <w:lvlText w:val="•"/>
      <w:lvlJc w:val="left"/>
      <w:pPr>
        <w:ind w:left="8280" w:hanging="360"/>
      </w:pPr>
      <w:rPr>
        <w:rFonts w:hint="default"/>
      </w:rPr>
    </w:lvl>
  </w:abstractNum>
  <w:abstractNum w:abstractNumId="13" w15:restartNumberingAfterBreak="0">
    <w:nsid w:val="42D82CE2"/>
    <w:multiLevelType w:val="hybridMultilevel"/>
    <w:tmpl w:val="4F1AE9B6"/>
    <w:lvl w:ilvl="0" w:tplc="7476788C">
      <w:numFmt w:val="bullet"/>
      <w:lvlText w:val=""/>
      <w:lvlJc w:val="left"/>
      <w:pPr>
        <w:ind w:left="1610" w:hanging="360"/>
      </w:pPr>
      <w:rPr>
        <w:rFonts w:ascii="Symbol" w:eastAsia="Symbol" w:hAnsi="Symbol" w:cs="Symbol" w:hint="default"/>
        <w:b w:val="0"/>
        <w:bCs w:val="0"/>
        <w:i w:val="0"/>
        <w:iCs w:val="0"/>
        <w:w w:val="99"/>
        <w:sz w:val="20"/>
        <w:szCs w:val="20"/>
      </w:rPr>
    </w:lvl>
    <w:lvl w:ilvl="1" w:tplc="28BAB42E">
      <w:numFmt w:val="bullet"/>
      <w:lvlText w:val="•"/>
      <w:lvlJc w:val="left"/>
      <w:pPr>
        <w:ind w:left="2452" w:hanging="360"/>
      </w:pPr>
      <w:rPr>
        <w:rFonts w:hint="default"/>
      </w:rPr>
    </w:lvl>
    <w:lvl w:ilvl="2" w:tplc="CA0E2A38">
      <w:numFmt w:val="bullet"/>
      <w:lvlText w:val="•"/>
      <w:lvlJc w:val="left"/>
      <w:pPr>
        <w:ind w:left="3285" w:hanging="360"/>
      </w:pPr>
      <w:rPr>
        <w:rFonts w:hint="default"/>
      </w:rPr>
    </w:lvl>
    <w:lvl w:ilvl="3" w:tplc="127A1DBE">
      <w:numFmt w:val="bullet"/>
      <w:lvlText w:val="•"/>
      <w:lvlJc w:val="left"/>
      <w:pPr>
        <w:ind w:left="4117" w:hanging="360"/>
      </w:pPr>
      <w:rPr>
        <w:rFonts w:hint="default"/>
      </w:rPr>
    </w:lvl>
    <w:lvl w:ilvl="4" w:tplc="738C342C">
      <w:numFmt w:val="bullet"/>
      <w:lvlText w:val="•"/>
      <w:lvlJc w:val="left"/>
      <w:pPr>
        <w:ind w:left="4950" w:hanging="360"/>
      </w:pPr>
      <w:rPr>
        <w:rFonts w:hint="default"/>
      </w:rPr>
    </w:lvl>
    <w:lvl w:ilvl="5" w:tplc="E8C6A796">
      <w:numFmt w:val="bullet"/>
      <w:lvlText w:val="•"/>
      <w:lvlJc w:val="left"/>
      <w:pPr>
        <w:ind w:left="5782" w:hanging="360"/>
      </w:pPr>
      <w:rPr>
        <w:rFonts w:hint="default"/>
      </w:rPr>
    </w:lvl>
    <w:lvl w:ilvl="6" w:tplc="A42EE912">
      <w:numFmt w:val="bullet"/>
      <w:lvlText w:val="•"/>
      <w:lvlJc w:val="left"/>
      <w:pPr>
        <w:ind w:left="6615" w:hanging="360"/>
      </w:pPr>
      <w:rPr>
        <w:rFonts w:hint="default"/>
      </w:rPr>
    </w:lvl>
    <w:lvl w:ilvl="7" w:tplc="1A0247EC">
      <w:numFmt w:val="bullet"/>
      <w:lvlText w:val="•"/>
      <w:lvlJc w:val="left"/>
      <w:pPr>
        <w:ind w:left="7447" w:hanging="360"/>
      </w:pPr>
      <w:rPr>
        <w:rFonts w:hint="default"/>
      </w:rPr>
    </w:lvl>
    <w:lvl w:ilvl="8" w:tplc="74C673F8">
      <w:numFmt w:val="bullet"/>
      <w:lvlText w:val="•"/>
      <w:lvlJc w:val="left"/>
      <w:pPr>
        <w:ind w:left="8280" w:hanging="360"/>
      </w:pPr>
      <w:rPr>
        <w:rFonts w:hint="default"/>
      </w:rPr>
    </w:lvl>
  </w:abstractNum>
  <w:abstractNum w:abstractNumId="14" w15:restartNumberingAfterBreak="0">
    <w:nsid w:val="43CC3553"/>
    <w:multiLevelType w:val="hybridMultilevel"/>
    <w:tmpl w:val="0310FCAA"/>
    <w:lvl w:ilvl="0" w:tplc="CED0C0B0">
      <w:numFmt w:val="bullet"/>
      <w:lvlText w:val=""/>
      <w:lvlJc w:val="left"/>
      <w:pPr>
        <w:ind w:left="1266" w:hanging="360"/>
      </w:pPr>
      <w:rPr>
        <w:rFonts w:ascii="Symbol" w:eastAsia="Symbol" w:hAnsi="Symbol" w:cs="Symbol" w:hint="default"/>
        <w:b w:val="0"/>
        <w:bCs w:val="0"/>
        <w:i w:val="0"/>
        <w:iCs w:val="0"/>
        <w:w w:val="103"/>
        <w:sz w:val="19"/>
        <w:szCs w:val="19"/>
      </w:rPr>
    </w:lvl>
    <w:lvl w:ilvl="1" w:tplc="D1146494">
      <w:numFmt w:val="bullet"/>
      <w:lvlText w:val="•"/>
      <w:lvlJc w:val="left"/>
      <w:pPr>
        <w:ind w:left="2072" w:hanging="360"/>
      </w:pPr>
      <w:rPr>
        <w:rFonts w:hint="default"/>
      </w:rPr>
    </w:lvl>
    <w:lvl w:ilvl="2" w:tplc="1B749260">
      <w:numFmt w:val="bullet"/>
      <w:lvlText w:val="•"/>
      <w:lvlJc w:val="left"/>
      <w:pPr>
        <w:ind w:left="2885" w:hanging="360"/>
      </w:pPr>
      <w:rPr>
        <w:rFonts w:hint="default"/>
      </w:rPr>
    </w:lvl>
    <w:lvl w:ilvl="3" w:tplc="F0161E1C">
      <w:numFmt w:val="bullet"/>
      <w:lvlText w:val="•"/>
      <w:lvlJc w:val="left"/>
      <w:pPr>
        <w:ind w:left="3697" w:hanging="360"/>
      </w:pPr>
      <w:rPr>
        <w:rFonts w:hint="default"/>
      </w:rPr>
    </w:lvl>
    <w:lvl w:ilvl="4" w:tplc="99C6B4AA">
      <w:numFmt w:val="bullet"/>
      <w:lvlText w:val="•"/>
      <w:lvlJc w:val="left"/>
      <w:pPr>
        <w:ind w:left="4510" w:hanging="360"/>
      </w:pPr>
      <w:rPr>
        <w:rFonts w:hint="default"/>
      </w:rPr>
    </w:lvl>
    <w:lvl w:ilvl="5" w:tplc="70805030">
      <w:numFmt w:val="bullet"/>
      <w:lvlText w:val="•"/>
      <w:lvlJc w:val="left"/>
      <w:pPr>
        <w:ind w:left="5322" w:hanging="360"/>
      </w:pPr>
      <w:rPr>
        <w:rFonts w:hint="default"/>
      </w:rPr>
    </w:lvl>
    <w:lvl w:ilvl="6" w:tplc="D148778E">
      <w:numFmt w:val="bullet"/>
      <w:lvlText w:val="•"/>
      <w:lvlJc w:val="left"/>
      <w:pPr>
        <w:ind w:left="6135" w:hanging="360"/>
      </w:pPr>
      <w:rPr>
        <w:rFonts w:hint="default"/>
      </w:rPr>
    </w:lvl>
    <w:lvl w:ilvl="7" w:tplc="DE8C3C00">
      <w:numFmt w:val="bullet"/>
      <w:lvlText w:val="•"/>
      <w:lvlJc w:val="left"/>
      <w:pPr>
        <w:ind w:left="6948" w:hanging="360"/>
      </w:pPr>
      <w:rPr>
        <w:rFonts w:hint="default"/>
      </w:rPr>
    </w:lvl>
    <w:lvl w:ilvl="8" w:tplc="22101A14">
      <w:numFmt w:val="bullet"/>
      <w:lvlText w:val="•"/>
      <w:lvlJc w:val="left"/>
      <w:pPr>
        <w:ind w:left="7760" w:hanging="360"/>
      </w:pPr>
      <w:rPr>
        <w:rFonts w:hint="default"/>
      </w:rPr>
    </w:lvl>
  </w:abstractNum>
  <w:abstractNum w:abstractNumId="15" w15:restartNumberingAfterBreak="0">
    <w:nsid w:val="45C54F42"/>
    <w:multiLevelType w:val="multilevel"/>
    <w:tmpl w:val="D3866EA8"/>
    <w:lvl w:ilvl="0">
      <w:start w:val="8"/>
      <w:numFmt w:val="decimal"/>
      <w:lvlText w:val="%1"/>
      <w:lvlJc w:val="left"/>
      <w:pPr>
        <w:ind w:left="1007" w:hanging="167"/>
      </w:pPr>
      <w:rPr>
        <w:rFonts w:ascii="Arial" w:eastAsia="Arial" w:hAnsi="Arial" w:cs="Arial" w:hint="default"/>
        <w:b w:val="0"/>
        <w:bCs w:val="0"/>
        <w:i w:val="0"/>
        <w:iCs w:val="0"/>
        <w:w w:val="100"/>
        <w:sz w:val="20"/>
        <w:szCs w:val="20"/>
      </w:rPr>
    </w:lvl>
    <w:lvl w:ilvl="1">
      <w:start w:val="1"/>
      <w:numFmt w:val="decimal"/>
      <w:lvlText w:val="%1.%2"/>
      <w:lvlJc w:val="left"/>
      <w:pPr>
        <w:ind w:left="2280" w:hanging="720"/>
      </w:pPr>
      <w:rPr>
        <w:rFonts w:ascii="Arial" w:eastAsia="Arial" w:hAnsi="Arial" w:cs="Arial" w:hint="default"/>
        <w:b w:val="0"/>
        <w:bCs w:val="0"/>
        <w:i/>
        <w:iCs/>
        <w:w w:val="100"/>
        <w:sz w:val="20"/>
        <w:szCs w:val="20"/>
      </w:rPr>
    </w:lvl>
    <w:lvl w:ilvl="2">
      <w:numFmt w:val="bullet"/>
      <w:lvlText w:val="•"/>
      <w:lvlJc w:val="left"/>
      <w:pPr>
        <w:ind w:left="3131" w:hanging="720"/>
      </w:pPr>
      <w:rPr>
        <w:rFonts w:hint="default"/>
      </w:rPr>
    </w:lvl>
    <w:lvl w:ilvl="3">
      <w:numFmt w:val="bullet"/>
      <w:lvlText w:val="•"/>
      <w:lvlJc w:val="left"/>
      <w:pPr>
        <w:ind w:left="3983" w:hanging="720"/>
      </w:pPr>
      <w:rPr>
        <w:rFonts w:hint="default"/>
      </w:rPr>
    </w:lvl>
    <w:lvl w:ilvl="4">
      <w:numFmt w:val="bullet"/>
      <w:lvlText w:val="•"/>
      <w:lvlJc w:val="left"/>
      <w:pPr>
        <w:ind w:left="4835" w:hanging="720"/>
      </w:pPr>
      <w:rPr>
        <w:rFonts w:hint="default"/>
      </w:rPr>
    </w:lvl>
    <w:lvl w:ilvl="5">
      <w:numFmt w:val="bullet"/>
      <w:lvlText w:val="•"/>
      <w:lvlJc w:val="left"/>
      <w:pPr>
        <w:ind w:left="5686" w:hanging="720"/>
      </w:pPr>
      <w:rPr>
        <w:rFonts w:hint="default"/>
      </w:rPr>
    </w:lvl>
    <w:lvl w:ilvl="6">
      <w:numFmt w:val="bullet"/>
      <w:lvlText w:val="•"/>
      <w:lvlJc w:val="left"/>
      <w:pPr>
        <w:ind w:left="6538" w:hanging="720"/>
      </w:pPr>
      <w:rPr>
        <w:rFonts w:hint="default"/>
      </w:rPr>
    </w:lvl>
    <w:lvl w:ilvl="7">
      <w:numFmt w:val="bullet"/>
      <w:lvlText w:val="•"/>
      <w:lvlJc w:val="left"/>
      <w:pPr>
        <w:ind w:left="7390" w:hanging="720"/>
      </w:pPr>
      <w:rPr>
        <w:rFonts w:hint="default"/>
      </w:rPr>
    </w:lvl>
    <w:lvl w:ilvl="8">
      <w:numFmt w:val="bullet"/>
      <w:lvlText w:val="•"/>
      <w:lvlJc w:val="left"/>
      <w:pPr>
        <w:ind w:left="8242" w:hanging="720"/>
      </w:pPr>
      <w:rPr>
        <w:rFonts w:hint="default"/>
      </w:rPr>
    </w:lvl>
  </w:abstractNum>
  <w:abstractNum w:abstractNumId="16" w15:restartNumberingAfterBreak="0">
    <w:nsid w:val="46353147"/>
    <w:multiLevelType w:val="multilevel"/>
    <w:tmpl w:val="62049094"/>
    <w:lvl w:ilvl="0">
      <w:start w:val="2"/>
      <w:numFmt w:val="decimal"/>
      <w:lvlText w:val="%1"/>
      <w:lvlJc w:val="left"/>
      <w:pPr>
        <w:ind w:left="1085" w:hanging="608"/>
      </w:pPr>
      <w:rPr>
        <w:rFonts w:hint="default"/>
      </w:rPr>
    </w:lvl>
    <w:lvl w:ilvl="1">
      <w:numFmt w:val="decimal"/>
      <w:lvlText w:val="%1.%2"/>
      <w:lvlJc w:val="left"/>
      <w:pPr>
        <w:ind w:left="1085" w:hanging="608"/>
        <w:jc w:val="right"/>
      </w:pPr>
      <w:rPr>
        <w:rFonts w:hint="default"/>
        <w:spacing w:val="-1"/>
        <w:w w:val="100"/>
      </w:rPr>
    </w:lvl>
    <w:lvl w:ilvl="2">
      <w:numFmt w:val="bullet"/>
      <w:lvlText w:val="•"/>
      <w:lvlJc w:val="left"/>
      <w:pPr>
        <w:ind w:left="2853" w:hanging="608"/>
      </w:pPr>
      <w:rPr>
        <w:rFonts w:hint="default"/>
      </w:rPr>
    </w:lvl>
    <w:lvl w:ilvl="3">
      <w:numFmt w:val="bullet"/>
      <w:lvlText w:val="•"/>
      <w:lvlJc w:val="left"/>
      <w:pPr>
        <w:ind w:left="3739" w:hanging="608"/>
      </w:pPr>
      <w:rPr>
        <w:rFonts w:hint="default"/>
      </w:rPr>
    </w:lvl>
    <w:lvl w:ilvl="4">
      <w:numFmt w:val="bullet"/>
      <w:lvlText w:val="•"/>
      <w:lvlJc w:val="left"/>
      <w:pPr>
        <w:ind w:left="4626" w:hanging="608"/>
      </w:pPr>
      <w:rPr>
        <w:rFonts w:hint="default"/>
      </w:rPr>
    </w:lvl>
    <w:lvl w:ilvl="5">
      <w:numFmt w:val="bullet"/>
      <w:lvlText w:val="•"/>
      <w:lvlJc w:val="left"/>
      <w:pPr>
        <w:ind w:left="5512" w:hanging="608"/>
      </w:pPr>
      <w:rPr>
        <w:rFonts w:hint="default"/>
      </w:rPr>
    </w:lvl>
    <w:lvl w:ilvl="6">
      <w:numFmt w:val="bullet"/>
      <w:lvlText w:val="•"/>
      <w:lvlJc w:val="left"/>
      <w:pPr>
        <w:ind w:left="6399" w:hanging="608"/>
      </w:pPr>
      <w:rPr>
        <w:rFonts w:hint="default"/>
      </w:rPr>
    </w:lvl>
    <w:lvl w:ilvl="7">
      <w:numFmt w:val="bullet"/>
      <w:lvlText w:val="•"/>
      <w:lvlJc w:val="left"/>
      <w:pPr>
        <w:ind w:left="7285" w:hanging="608"/>
      </w:pPr>
      <w:rPr>
        <w:rFonts w:hint="default"/>
      </w:rPr>
    </w:lvl>
    <w:lvl w:ilvl="8">
      <w:numFmt w:val="bullet"/>
      <w:lvlText w:val="•"/>
      <w:lvlJc w:val="left"/>
      <w:pPr>
        <w:ind w:left="8172" w:hanging="608"/>
      </w:pPr>
      <w:rPr>
        <w:rFonts w:hint="default"/>
      </w:rPr>
    </w:lvl>
  </w:abstractNum>
  <w:abstractNum w:abstractNumId="17" w15:restartNumberingAfterBreak="0">
    <w:nsid w:val="4A8B6B2A"/>
    <w:multiLevelType w:val="hybridMultilevel"/>
    <w:tmpl w:val="E15E95F2"/>
    <w:lvl w:ilvl="0" w:tplc="DDD02A12">
      <w:numFmt w:val="bullet"/>
      <w:lvlText w:val=""/>
      <w:lvlJc w:val="left"/>
      <w:pPr>
        <w:ind w:left="1610" w:hanging="360"/>
      </w:pPr>
      <w:rPr>
        <w:rFonts w:ascii="Symbol" w:eastAsia="Symbol" w:hAnsi="Symbol" w:cs="Symbol" w:hint="default"/>
        <w:b w:val="0"/>
        <w:bCs w:val="0"/>
        <w:i w:val="0"/>
        <w:iCs w:val="0"/>
        <w:w w:val="99"/>
        <w:sz w:val="20"/>
        <w:szCs w:val="20"/>
      </w:rPr>
    </w:lvl>
    <w:lvl w:ilvl="1" w:tplc="76586AB8">
      <w:numFmt w:val="bullet"/>
      <w:lvlText w:val="•"/>
      <w:lvlJc w:val="left"/>
      <w:pPr>
        <w:ind w:left="2452" w:hanging="360"/>
      </w:pPr>
      <w:rPr>
        <w:rFonts w:hint="default"/>
      </w:rPr>
    </w:lvl>
    <w:lvl w:ilvl="2" w:tplc="8C0E8CF2">
      <w:numFmt w:val="bullet"/>
      <w:lvlText w:val="•"/>
      <w:lvlJc w:val="left"/>
      <w:pPr>
        <w:ind w:left="3285" w:hanging="360"/>
      </w:pPr>
      <w:rPr>
        <w:rFonts w:hint="default"/>
      </w:rPr>
    </w:lvl>
    <w:lvl w:ilvl="3" w:tplc="8D2689DC">
      <w:numFmt w:val="bullet"/>
      <w:lvlText w:val="•"/>
      <w:lvlJc w:val="left"/>
      <w:pPr>
        <w:ind w:left="4117" w:hanging="360"/>
      </w:pPr>
      <w:rPr>
        <w:rFonts w:hint="default"/>
      </w:rPr>
    </w:lvl>
    <w:lvl w:ilvl="4" w:tplc="5EA45316">
      <w:numFmt w:val="bullet"/>
      <w:lvlText w:val="•"/>
      <w:lvlJc w:val="left"/>
      <w:pPr>
        <w:ind w:left="4950" w:hanging="360"/>
      </w:pPr>
      <w:rPr>
        <w:rFonts w:hint="default"/>
      </w:rPr>
    </w:lvl>
    <w:lvl w:ilvl="5" w:tplc="F8F681E8">
      <w:numFmt w:val="bullet"/>
      <w:lvlText w:val="•"/>
      <w:lvlJc w:val="left"/>
      <w:pPr>
        <w:ind w:left="5782" w:hanging="360"/>
      </w:pPr>
      <w:rPr>
        <w:rFonts w:hint="default"/>
      </w:rPr>
    </w:lvl>
    <w:lvl w:ilvl="6" w:tplc="16285266">
      <w:numFmt w:val="bullet"/>
      <w:lvlText w:val="•"/>
      <w:lvlJc w:val="left"/>
      <w:pPr>
        <w:ind w:left="6615" w:hanging="360"/>
      </w:pPr>
      <w:rPr>
        <w:rFonts w:hint="default"/>
      </w:rPr>
    </w:lvl>
    <w:lvl w:ilvl="7" w:tplc="97DA0E6E">
      <w:numFmt w:val="bullet"/>
      <w:lvlText w:val="•"/>
      <w:lvlJc w:val="left"/>
      <w:pPr>
        <w:ind w:left="7447" w:hanging="360"/>
      </w:pPr>
      <w:rPr>
        <w:rFonts w:hint="default"/>
      </w:rPr>
    </w:lvl>
    <w:lvl w:ilvl="8" w:tplc="CD00FAE4">
      <w:numFmt w:val="bullet"/>
      <w:lvlText w:val="•"/>
      <w:lvlJc w:val="left"/>
      <w:pPr>
        <w:ind w:left="8280" w:hanging="360"/>
      </w:pPr>
      <w:rPr>
        <w:rFonts w:hint="default"/>
      </w:rPr>
    </w:lvl>
  </w:abstractNum>
  <w:abstractNum w:abstractNumId="18" w15:restartNumberingAfterBreak="0">
    <w:nsid w:val="4DD22542"/>
    <w:multiLevelType w:val="multilevel"/>
    <w:tmpl w:val="06460832"/>
    <w:lvl w:ilvl="0">
      <w:start w:val="2"/>
      <w:numFmt w:val="decimal"/>
      <w:lvlText w:val="%1"/>
      <w:lvlJc w:val="left"/>
      <w:pPr>
        <w:ind w:left="792" w:hanging="780"/>
      </w:pPr>
      <w:rPr>
        <w:rFonts w:hint="default"/>
      </w:rPr>
    </w:lvl>
    <w:lvl w:ilvl="1">
      <w:start w:val="2"/>
      <w:numFmt w:val="decimal"/>
      <w:lvlText w:val="%1.%2"/>
      <w:lvlJc w:val="left"/>
      <w:pPr>
        <w:ind w:left="792" w:hanging="780"/>
      </w:pPr>
      <w:rPr>
        <w:rFonts w:ascii="Arial" w:eastAsia="Arial" w:hAnsi="Arial" w:cs="Arial" w:hint="default"/>
        <w:b/>
        <w:bCs/>
        <w:i w:val="0"/>
        <w:iCs w:val="0"/>
        <w:spacing w:val="0"/>
        <w:w w:val="102"/>
        <w:sz w:val="31"/>
        <w:szCs w:val="31"/>
      </w:rPr>
    </w:lvl>
    <w:lvl w:ilvl="2">
      <w:numFmt w:val="bullet"/>
      <w:lvlText w:val="•"/>
      <w:lvlJc w:val="left"/>
      <w:pPr>
        <w:ind w:left="2517" w:hanging="780"/>
      </w:pPr>
      <w:rPr>
        <w:rFonts w:hint="default"/>
      </w:rPr>
    </w:lvl>
    <w:lvl w:ilvl="3">
      <w:numFmt w:val="bullet"/>
      <w:lvlText w:val="•"/>
      <w:lvlJc w:val="left"/>
      <w:pPr>
        <w:ind w:left="3375" w:hanging="780"/>
      </w:pPr>
      <w:rPr>
        <w:rFonts w:hint="default"/>
      </w:rPr>
    </w:lvl>
    <w:lvl w:ilvl="4">
      <w:numFmt w:val="bullet"/>
      <w:lvlText w:val="•"/>
      <w:lvlJc w:val="left"/>
      <w:pPr>
        <w:ind w:left="4234" w:hanging="780"/>
      </w:pPr>
      <w:rPr>
        <w:rFonts w:hint="default"/>
      </w:rPr>
    </w:lvl>
    <w:lvl w:ilvl="5">
      <w:numFmt w:val="bullet"/>
      <w:lvlText w:val="•"/>
      <w:lvlJc w:val="left"/>
      <w:pPr>
        <w:ind w:left="5092" w:hanging="780"/>
      </w:pPr>
      <w:rPr>
        <w:rFonts w:hint="default"/>
      </w:rPr>
    </w:lvl>
    <w:lvl w:ilvl="6">
      <w:numFmt w:val="bullet"/>
      <w:lvlText w:val="•"/>
      <w:lvlJc w:val="left"/>
      <w:pPr>
        <w:ind w:left="5951" w:hanging="780"/>
      </w:pPr>
      <w:rPr>
        <w:rFonts w:hint="default"/>
      </w:rPr>
    </w:lvl>
    <w:lvl w:ilvl="7">
      <w:numFmt w:val="bullet"/>
      <w:lvlText w:val="•"/>
      <w:lvlJc w:val="left"/>
      <w:pPr>
        <w:ind w:left="6810" w:hanging="780"/>
      </w:pPr>
      <w:rPr>
        <w:rFonts w:hint="default"/>
      </w:rPr>
    </w:lvl>
    <w:lvl w:ilvl="8">
      <w:numFmt w:val="bullet"/>
      <w:lvlText w:val="•"/>
      <w:lvlJc w:val="left"/>
      <w:pPr>
        <w:ind w:left="7668" w:hanging="780"/>
      </w:pPr>
      <w:rPr>
        <w:rFonts w:hint="default"/>
      </w:rPr>
    </w:lvl>
  </w:abstractNum>
  <w:abstractNum w:abstractNumId="19" w15:restartNumberingAfterBreak="0">
    <w:nsid w:val="52C75303"/>
    <w:multiLevelType w:val="hybridMultilevel"/>
    <w:tmpl w:val="BF362210"/>
    <w:lvl w:ilvl="0" w:tplc="14102860">
      <w:numFmt w:val="bullet"/>
      <w:lvlText w:val=""/>
      <w:lvlJc w:val="left"/>
      <w:pPr>
        <w:ind w:left="1266" w:hanging="360"/>
      </w:pPr>
      <w:rPr>
        <w:rFonts w:ascii="Symbol" w:eastAsia="Symbol" w:hAnsi="Symbol" w:cs="Symbol" w:hint="default"/>
        <w:b w:val="0"/>
        <w:bCs w:val="0"/>
        <w:i w:val="0"/>
        <w:iCs w:val="0"/>
        <w:w w:val="103"/>
        <w:sz w:val="19"/>
        <w:szCs w:val="19"/>
      </w:rPr>
    </w:lvl>
    <w:lvl w:ilvl="1" w:tplc="59E2C742">
      <w:numFmt w:val="bullet"/>
      <w:lvlText w:val="•"/>
      <w:lvlJc w:val="left"/>
      <w:pPr>
        <w:ind w:left="2072" w:hanging="360"/>
      </w:pPr>
      <w:rPr>
        <w:rFonts w:hint="default"/>
      </w:rPr>
    </w:lvl>
    <w:lvl w:ilvl="2" w:tplc="D6029282">
      <w:numFmt w:val="bullet"/>
      <w:lvlText w:val="•"/>
      <w:lvlJc w:val="left"/>
      <w:pPr>
        <w:ind w:left="2885" w:hanging="360"/>
      </w:pPr>
      <w:rPr>
        <w:rFonts w:hint="default"/>
      </w:rPr>
    </w:lvl>
    <w:lvl w:ilvl="3" w:tplc="25D01A86">
      <w:numFmt w:val="bullet"/>
      <w:lvlText w:val="•"/>
      <w:lvlJc w:val="left"/>
      <w:pPr>
        <w:ind w:left="3697" w:hanging="360"/>
      </w:pPr>
      <w:rPr>
        <w:rFonts w:hint="default"/>
      </w:rPr>
    </w:lvl>
    <w:lvl w:ilvl="4" w:tplc="CA98E36E">
      <w:numFmt w:val="bullet"/>
      <w:lvlText w:val="•"/>
      <w:lvlJc w:val="left"/>
      <w:pPr>
        <w:ind w:left="4510" w:hanging="360"/>
      </w:pPr>
      <w:rPr>
        <w:rFonts w:hint="default"/>
      </w:rPr>
    </w:lvl>
    <w:lvl w:ilvl="5" w:tplc="8F30894E">
      <w:numFmt w:val="bullet"/>
      <w:lvlText w:val="•"/>
      <w:lvlJc w:val="left"/>
      <w:pPr>
        <w:ind w:left="5322" w:hanging="360"/>
      </w:pPr>
      <w:rPr>
        <w:rFonts w:hint="default"/>
      </w:rPr>
    </w:lvl>
    <w:lvl w:ilvl="6" w:tplc="13064E0C">
      <w:numFmt w:val="bullet"/>
      <w:lvlText w:val="•"/>
      <w:lvlJc w:val="left"/>
      <w:pPr>
        <w:ind w:left="6135" w:hanging="360"/>
      </w:pPr>
      <w:rPr>
        <w:rFonts w:hint="default"/>
      </w:rPr>
    </w:lvl>
    <w:lvl w:ilvl="7" w:tplc="AB9E5FDC">
      <w:numFmt w:val="bullet"/>
      <w:lvlText w:val="•"/>
      <w:lvlJc w:val="left"/>
      <w:pPr>
        <w:ind w:left="6948" w:hanging="360"/>
      </w:pPr>
      <w:rPr>
        <w:rFonts w:hint="default"/>
      </w:rPr>
    </w:lvl>
    <w:lvl w:ilvl="8" w:tplc="F59038E2">
      <w:numFmt w:val="bullet"/>
      <w:lvlText w:val="•"/>
      <w:lvlJc w:val="left"/>
      <w:pPr>
        <w:ind w:left="7760" w:hanging="360"/>
      </w:pPr>
      <w:rPr>
        <w:rFonts w:hint="default"/>
      </w:rPr>
    </w:lvl>
  </w:abstractNum>
  <w:abstractNum w:abstractNumId="20" w15:restartNumberingAfterBreak="0">
    <w:nsid w:val="5B4941E3"/>
    <w:multiLevelType w:val="multilevel"/>
    <w:tmpl w:val="CEE01D1E"/>
    <w:lvl w:ilvl="0">
      <w:start w:val="2"/>
      <w:numFmt w:val="decimal"/>
      <w:lvlText w:val="%1"/>
      <w:lvlJc w:val="left"/>
      <w:pPr>
        <w:ind w:left="1092" w:hanging="608"/>
      </w:pPr>
      <w:rPr>
        <w:rFonts w:hint="default"/>
      </w:rPr>
    </w:lvl>
    <w:lvl w:ilvl="1">
      <w:numFmt w:val="decimal"/>
      <w:lvlText w:val="%1.%2"/>
      <w:lvlJc w:val="left"/>
      <w:pPr>
        <w:ind w:left="1092" w:hanging="608"/>
        <w:jc w:val="right"/>
      </w:pPr>
      <w:rPr>
        <w:rFonts w:hint="default"/>
        <w:w w:val="100"/>
      </w:rPr>
    </w:lvl>
    <w:lvl w:ilvl="2">
      <w:numFmt w:val="bullet"/>
      <w:lvlText w:val="•"/>
      <w:lvlJc w:val="left"/>
      <w:pPr>
        <w:ind w:left="2869" w:hanging="608"/>
      </w:pPr>
      <w:rPr>
        <w:rFonts w:hint="default"/>
      </w:rPr>
    </w:lvl>
    <w:lvl w:ilvl="3">
      <w:numFmt w:val="bullet"/>
      <w:lvlText w:val="•"/>
      <w:lvlJc w:val="left"/>
      <w:pPr>
        <w:ind w:left="3753" w:hanging="608"/>
      </w:pPr>
      <w:rPr>
        <w:rFonts w:hint="default"/>
      </w:rPr>
    </w:lvl>
    <w:lvl w:ilvl="4">
      <w:numFmt w:val="bullet"/>
      <w:lvlText w:val="•"/>
      <w:lvlJc w:val="left"/>
      <w:pPr>
        <w:ind w:left="4638" w:hanging="608"/>
      </w:pPr>
      <w:rPr>
        <w:rFonts w:hint="default"/>
      </w:rPr>
    </w:lvl>
    <w:lvl w:ilvl="5">
      <w:numFmt w:val="bullet"/>
      <w:lvlText w:val="•"/>
      <w:lvlJc w:val="left"/>
      <w:pPr>
        <w:ind w:left="5522" w:hanging="608"/>
      </w:pPr>
      <w:rPr>
        <w:rFonts w:hint="default"/>
      </w:rPr>
    </w:lvl>
    <w:lvl w:ilvl="6">
      <w:numFmt w:val="bullet"/>
      <w:lvlText w:val="•"/>
      <w:lvlJc w:val="left"/>
      <w:pPr>
        <w:ind w:left="6407" w:hanging="608"/>
      </w:pPr>
      <w:rPr>
        <w:rFonts w:hint="default"/>
      </w:rPr>
    </w:lvl>
    <w:lvl w:ilvl="7">
      <w:numFmt w:val="bullet"/>
      <w:lvlText w:val="•"/>
      <w:lvlJc w:val="left"/>
      <w:pPr>
        <w:ind w:left="7291" w:hanging="608"/>
      </w:pPr>
      <w:rPr>
        <w:rFonts w:hint="default"/>
      </w:rPr>
    </w:lvl>
    <w:lvl w:ilvl="8">
      <w:numFmt w:val="bullet"/>
      <w:lvlText w:val="•"/>
      <w:lvlJc w:val="left"/>
      <w:pPr>
        <w:ind w:left="8176" w:hanging="608"/>
      </w:pPr>
      <w:rPr>
        <w:rFonts w:hint="default"/>
      </w:rPr>
    </w:lvl>
  </w:abstractNum>
  <w:abstractNum w:abstractNumId="21" w15:restartNumberingAfterBreak="0">
    <w:nsid w:val="61E31A00"/>
    <w:multiLevelType w:val="multilevel"/>
    <w:tmpl w:val="68B8EB50"/>
    <w:lvl w:ilvl="0">
      <w:start w:val="1"/>
      <w:numFmt w:val="decimal"/>
      <w:lvlText w:val="%1"/>
      <w:lvlJc w:val="left"/>
      <w:pPr>
        <w:ind w:left="1246" w:hanging="581"/>
      </w:pPr>
      <w:rPr>
        <w:rFonts w:hint="default"/>
      </w:rPr>
    </w:lvl>
    <w:lvl w:ilvl="1">
      <w:numFmt w:val="decimal"/>
      <w:lvlText w:val="%1.%2"/>
      <w:lvlJc w:val="left"/>
      <w:pPr>
        <w:ind w:left="1246" w:hanging="581"/>
        <w:jc w:val="right"/>
      </w:pPr>
      <w:rPr>
        <w:rFonts w:hint="default"/>
        <w:spacing w:val="-1"/>
        <w:w w:val="100"/>
      </w:rPr>
    </w:lvl>
    <w:lvl w:ilvl="2">
      <w:numFmt w:val="bullet"/>
      <w:lvlText w:val="•"/>
      <w:lvlJc w:val="left"/>
      <w:pPr>
        <w:ind w:left="2981" w:hanging="581"/>
      </w:pPr>
      <w:rPr>
        <w:rFonts w:hint="default"/>
      </w:rPr>
    </w:lvl>
    <w:lvl w:ilvl="3">
      <w:numFmt w:val="bullet"/>
      <w:lvlText w:val="•"/>
      <w:lvlJc w:val="left"/>
      <w:pPr>
        <w:ind w:left="3851" w:hanging="581"/>
      </w:pPr>
      <w:rPr>
        <w:rFonts w:hint="default"/>
      </w:rPr>
    </w:lvl>
    <w:lvl w:ilvl="4">
      <w:numFmt w:val="bullet"/>
      <w:lvlText w:val="•"/>
      <w:lvlJc w:val="left"/>
      <w:pPr>
        <w:ind w:left="4722" w:hanging="581"/>
      </w:pPr>
      <w:rPr>
        <w:rFonts w:hint="default"/>
      </w:rPr>
    </w:lvl>
    <w:lvl w:ilvl="5">
      <w:numFmt w:val="bullet"/>
      <w:lvlText w:val="•"/>
      <w:lvlJc w:val="left"/>
      <w:pPr>
        <w:ind w:left="5592" w:hanging="581"/>
      </w:pPr>
      <w:rPr>
        <w:rFonts w:hint="default"/>
      </w:rPr>
    </w:lvl>
    <w:lvl w:ilvl="6">
      <w:numFmt w:val="bullet"/>
      <w:lvlText w:val="•"/>
      <w:lvlJc w:val="left"/>
      <w:pPr>
        <w:ind w:left="6463" w:hanging="581"/>
      </w:pPr>
      <w:rPr>
        <w:rFonts w:hint="default"/>
      </w:rPr>
    </w:lvl>
    <w:lvl w:ilvl="7">
      <w:numFmt w:val="bullet"/>
      <w:lvlText w:val="•"/>
      <w:lvlJc w:val="left"/>
      <w:pPr>
        <w:ind w:left="7333" w:hanging="581"/>
      </w:pPr>
      <w:rPr>
        <w:rFonts w:hint="default"/>
      </w:rPr>
    </w:lvl>
    <w:lvl w:ilvl="8">
      <w:numFmt w:val="bullet"/>
      <w:lvlText w:val="•"/>
      <w:lvlJc w:val="left"/>
      <w:pPr>
        <w:ind w:left="8204" w:hanging="581"/>
      </w:pPr>
      <w:rPr>
        <w:rFonts w:hint="default"/>
      </w:rPr>
    </w:lvl>
  </w:abstractNum>
  <w:abstractNum w:abstractNumId="22" w15:restartNumberingAfterBreak="0">
    <w:nsid w:val="629F28F1"/>
    <w:multiLevelType w:val="hybridMultilevel"/>
    <w:tmpl w:val="C9983F88"/>
    <w:lvl w:ilvl="0" w:tplc="9A346DDA">
      <w:numFmt w:val="bullet"/>
      <w:lvlText w:val=""/>
      <w:lvlJc w:val="left"/>
      <w:pPr>
        <w:ind w:left="1610" w:hanging="360"/>
      </w:pPr>
      <w:rPr>
        <w:rFonts w:ascii="Symbol" w:eastAsia="Symbol" w:hAnsi="Symbol" w:cs="Symbol" w:hint="default"/>
        <w:b w:val="0"/>
        <w:bCs w:val="0"/>
        <w:i w:val="0"/>
        <w:iCs w:val="0"/>
        <w:w w:val="99"/>
        <w:sz w:val="20"/>
        <w:szCs w:val="20"/>
      </w:rPr>
    </w:lvl>
    <w:lvl w:ilvl="1" w:tplc="9F949204">
      <w:numFmt w:val="bullet"/>
      <w:lvlText w:val="•"/>
      <w:lvlJc w:val="left"/>
      <w:pPr>
        <w:ind w:left="2452" w:hanging="360"/>
      </w:pPr>
      <w:rPr>
        <w:rFonts w:hint="default"/>
      </w:rPr>
    </w:lvl>
    <w:lvl w:ilvl="2" w:tplc="4CD84CD8">
      <w:numFmt w:val="bullet"/>
      <w:lvlText w:val="•"/>
      <w:lvlJc w:val="left"/>
      <w:pPr>
        <w:ind w:left="3285" w:hanging="360"/>
      </w:pPr>
      <w:rPr>
        <w:rFonts w:hint="default"/>
      </w:rPr>
    </w:lvl>
    <w:lvl w:ilvl="3" w:tplc="7A84858C">
      <w:numFmt w:val="bullet"/>
      <w:lvlText w:val="•"/>
      <w:lvlJc w:val="left"/>
      <w:pPr>
        <w:ind w:left="4117" w:hanging="360"/>
      </w:pPr>
      <w:rPr>
        <w:rFonts w:hint="default"/>
      </w:rPr>
    </w:lvl>
    <w:lvl w:ilvl="4" w:tplc="D7661ABA">
      <w:numFmt w:val="bullet"/>
      <w:lvlText w:val="•"/>
      <w:lvlJc w:val="left"/>
      <w:pPr>
        <w:ind w:left="4950" w:hanging="360"/>
      </w:pPr>
      <w:rPr>
        <w:rFonts w:hint="default"/>
      </w:rPr>
    </w:lvl>
    <w:lvl w:ilvl="5" w:tplc="99C23402">
      <w:numFmt w:val="bullet"/>
      <w:lvlText w:val="•"/>
      <w:lvlJc w:val="left"/>
      <w:pPr>
        <w:ind w:left="5782" w:hanging="360"/>
      </w:pPr>
      <w:rPr>
        <w:rFonts w:hint="default"/>
      </w:rPr>
    </w:lvl>
    <w:lvl w:ilvl="6" w:tplc="8C5E84DA">
      <w:numFmt w:val="bullet"/>
      <w:lvlText w:val="•"/>
      <w:lvlJc w:val="left"/>
      <w:pPr>
        <w:ind w:left="6615" w:hanging="360"/>
      </w:pPr>
      <w:rPr>
        <w:rFonts w:hint="default"/>
      </w:rPr>
    </w:lvl>
    <w:lvl w:ilvl="7" w:tplc="3E909540">
      <w:numFmt w:val="bullet"/>
      <w:lvlText w:val="•"/>
      <w:lvlJc w:val="left"/>
      <w:pPr>
        <w:ind w:left="7447" w:hanging="360"/>
      </w:pPr>
      <w:rPr>
        <w:rFonts w:hint="default"/>
      </w:rPr>
    </w:lvl>
    <w:lvl w:ilvl="8" w:tplc="3B547608">
      <w:numFmt w:val="bullet"/>
      <w:lvlText w:val="•"/>
      <w:lvlJc w:val="left"/>
      <w:pPr>
        <w:ind w:left="8280" w:hanging="360"/>
      </w:pPr>
      <w:rPr>
        <w:rFonts w:hint="default"/>
      </w:rPr>
    </w:lvl>
  </w:abstractNum>
  <w:abstractNum w:abstractNumId="23" w15:restartNumberingAfterBreak="0">
    <w:nsid w:val="667B5577"/>
    <w:multiLevelType w:val="hybridMultilevel"/>
    <w:tmpl w:val="00CCEBCC"/>
    <w:lvl w:ilvl="0" w:tplc="B5A62DB4">
      <w:numFmt w:val="bullet"/>
      <w:lvlText w:val=""/>
      <w:lvlJc w:val="left"/>
      <w:pPr>
        <w:ind w:left="1266" w:hanging="360"/>
      </w:pPr>
      <w:rPr>
        <w:rFonts w:ascii="Symbol" w:eastAsia="Symbol" w:hAnsi="Symbol" w:cs="Symbol" w:hint="default"/>
        <w:b w:val="0"/>
        <w:bCs w:val="0"/>
        <w:i w:val="0"/>
        <w:iCs w:val="0"/>
        <w:w w:val="103"/>
        <w:sz w:val="19"/>
        <w:szCs w:val="19"/>
      </w:rPr>
    </w:lvl>
    <w:lvl w:ilvl="1" w:tplc="DF487B68">
      <w:numFmt w:val="bullet"/>
      <w:lvlText w:val="•"/>
      <w:lvlJc w:val="left"/>
      <w:pPr>
        <w:ind w:left="2036" w:hanging="360"/>
      </w:pPr>
      <w:rPr>
        <w:rFonts w:hint="default"/>
      </w:rPr>
    </w:lvl>
    <w:lvl w:ilvl="2" w:tplc="B0D0B6C4">
      <w:numFmt w:val="bullet"/>
      <w:lvlText w:val="•"/>
      <w:lvlJc w:val="left"/>
      <w:pPr>
        <w:ind w:left="2813" w:hanging="360"/>
      </w:pPr>
      <w:rPr>
        <w:rFonts w:hint="default"/>
      </w:rPr>
    </w:lvl>
    <w:lvl w:ilvl="3" w:tplc="167CE7EE">
      <w:numFmt w:val="bullet"/>
      <w:lvlText w:val="•"/>
      <w:lvlJc w:val="left"/>
      <w:pPr>
        <w:ind w:left="3589" w:hanging="360"/>
      </w:pPr>
      <w:rPr>
        <w:rFonts w:hint="default"/>
      </w:rPr>
    </w:lvl>
    <w:lvl w:ilvl="4" w:tplc="4AE49F22">
      <w:numFmt w:val="bullet"/>
      <w:lvlText w:val="•"/>
      <w:lvlJc w:val="left"/>
      <w:pPr>
        <w:ind w:left="4366" w:hanging="360"/>
      </w:pPr>
      <w:rPr>
        <w:rFonts w:hint="default"/>
      </w:rPr>
    </w:lvl>
    <w:lvl w:ilvl="5" w:tplc="72AC9E84">
      <w:numFmt w:val="bullet"/>
      <w:lvlText w:val="•"/>
      <w:lvlJc w:val="left"/>
      <w:pPr>
        <w:ind w:left="5142" w:hanging="360"/>
      </w:pPr>
      <w:rPr>
        <w:rFonts w:hint="default"/>
      </w:rPr>
    </w:lvl>
    <w:lvl w:ilvl="6" w:tplc="BFA4983C">
      <w:numFmt w:val="bullet"/>
      <w:lvlText w:val="•"/>
      <w:lvlJc w:val="left"/>
      <w:pPr>
        <w:ind w:left="5919" w:hanging="360"/>
      </w:pPr>
      <w:rPr>
        <w:rFonts w:hint="default"/>
      </w:rPr>
    </w:lvl>
    <w:lvl w:ilvl="7" w:tplc="C9E29D3A">
      <w:numFmt w:val="bullet"/>
      <w:lvlText w:val="•"/>
      <w:lvlJc w:val="left"/>
      <w:pPr>
        <w:ind w:left="6695" w:hanging="360"/>
      </w:pPr>
      <w:rPr>
        <w:rFonts w:hint="default"/>
      </w:rPr>
    </w:lvl>
    <w:lvl w:ilvl="8" w:tplc="66A2DF92">
      <w:numFmt w:val="bullet"/>
      <w:lvlText w:val="•"/>
      <w:lvlJc w:val="left"/>
      <w:pPr>
        <w:ind w:left="7472" w:hanging="360"/>
      </w:pPr>
      <w:rPr>
        <w:rFonts w:hint="default"/>
      </w:rPr>
    </w:lvl>
  </w:abstractNum>
  <w:abstractNum w:abstractNumId="24" w15:restartNumberingAfterBreak="0">
    <w:nsid w:val="69507215"/>
    <w:multiLevelType w:val="hybridMultilevel"/>
    <w:tmpl w:val="9EF00CF8"/>
    <w:lvl w:ilvl="0" w:tplc="F20A27DE">
      <w:numFmt w:val="bullet"/>
      <w:lvlText w:val=""/>
      <w:lvlJc w:val="left"/>
      <w:pPr>
        <w:ind w:left="1610" w:hanging="360"/>
      </w:pPr>
      <w:rPr>
        <w:rFonts w:ascii="Symbol" w:eastAsia="Symbol" w:hAnsi="Symbol" w:cs="Symbol" w:hint="default"/>
        <w:b w:val="0"/>
        <w:bCs w:val="0"/>
        <w:i w:val="0"/>
        <w:iCs w:val="0"/>
        <w:w w:val="99"/>
        <w:sz w:val="20"/>
        <w:szCs w:val="20"/>
      </w:rPr>
    </w:lvl>
    <w:lvl w:ilvl="1" w:tplc="C1CE7FB2">
      <w:numFmt w:val="bullet"/>
      <w:lvlText w:val="•"/>
      <w:lvlJc w:val="left"/>
      <w:pPr>
        <w:ind w:left="2452" w:hanging="360"/>
      </w:pPr>
      <w:rPr>
        <w:rFonts w:hint="default"/>
      </w:rPr>
    </w:lvl>
    <w:lvl w:ilvl="2" w:tplc="443E816A">
      <w:numFmt w:val="bullet"/>
      <w:lvlText w:val="•"/>
      <w:lvlJc w:val="left"/>
      <w:pPr>
        <w:ind w:left="3285" w:hanging="360"/>
      </w:pPr>
      <w:rPr>
        <w:rFonts w:hint="default"/>
      </w:rPr>
    </w:lvl>
    <w:lvl w:ilvl="3" w:tplc="36E2E8C8">
      <w:numFmt w:val="bullet"/>
      <w:lvlText w:val="•"/>
      <w:lvlJc w:val="left"/>
      <w:pPr>
        <w:ind w:left="4117" w:hanging="360"/>
      </w:pPr>
      <w:rPr>
        <w:rFonts w:hint="default"/>
      </w:rPr>
    </w:lvl>
    <w:lvl w:ilvl="4" w:tplc="D25ED946">
      <w:numFmt w:val="bullet"/>
      <w:lvlText w:val="•"/>
      <w:lvlJc w:val="left"/>
      <w:pPr>
        <w:ind w:left="4950" w:hanging="360"/>
      </w:pPr>
      <w:rPr>
        <w:rFonts w:hint="default"/>
      </w:rPr>
    </w:lvl>
    <w:lvl w:ilvl="5" w:tplc="EEE21030">
      <w:numFmt w:val="bullet"/>
      <w:lvlText w:val="•"/>
      <w:lvlJc w:val="left"/>
      <w:pPr>
        <w:ind w:left="5782" w:hanging="360"/>
      </w:pPr>
      <w:rPr>
        <w:rFonts w:hint="default"/>
      </w:rPr>
    </w:lvl>
    <w:lvl w:ilvl="6" w:tplc="6DF0185A">
      <w:numFmt w:val="bullet"/>
      <w:lvlText w:val="•"/>
      <w:lvlJc w:val="left"/>
      <w:pPr>
        <w:ind w:left="6615" w:hanging="360"/>
      </w:pPr>
      <w:rPr>
        <w:rFonts w:hint="default"/>
      </w:rPr>
    </w:lvl>
    <w:lvl w:ilvl="7" w:tplc="9D88FFC2">
      <w:numFmt w:val="bullet"/>
      <w:lvlText w:val="•"/>
      <w:lvlJc w:val="left"/>
      <w:pPr>
        <w:ind w:left="7447" w:hanging="360"/>
      </w:pPr>
      <w:rPr>
        <w:rFonts w:hint="default"/>
      </w:rPr>
    </w:lvl>
    <w:lvl w:ilvl="8" w:tplc="66D2FFF0">
      <w:numFmt w:val="bullet"/>
      <w:lvlText w:val="•"/>
      <w:lvlJc w:val="left"/>
      <w:pPr>
        <w:ind w:left="8280" w:hanging="360"/>
      </w:pPr>
      <w:rPr>
        <w:rFonts w:hint="default"/>
      </w:rPr>
    </w:lvl>
  </w:abstractNum>
  <w:abstractNum w:abstractNumId="25" w15:restartNumberingAfterBreak="0">
    <w:nsid w:val="696D3F62"/>
    <w:multiLevelType w:val="multilevel"/>
    <w:tmpl w:val="A2F88DF2"/>
    <w:lvl w:ilvl="0">
      <w:start w:val="1"/>
      <w:numFmt w:val="decimal"/>
      <w:lvlText w:val="%1"/>
      <w:lvlJc w:val="left"/>
      <w:pPr>
        <w:ind w:left="1256" w:hanging="580"/>
      </w:pPr>
      <w:rPr>
        <w:rFonts w:hint="default"/>
      </w:rPr>
    </w:lvl>
    <w:lvl w:ilvl="1">
      <w:numFmt w:val="decimal"/>
      <w:lvlText w:val="%1.%2"/>
      <w:lvlJc w:val="left"/>
      <w:pPr>
        <w:ind w:left="1256" w:hanging="580"/>
        <w:jc w:val="right"/>
      </w:pPr>
      <w:rPr>
        <w:rFonts w:hint="default"/>
        <w:w w:val="100"/>
      </w:rPr>
    </w:lvl>
    <w:lvl w:ilvl="2">
      <w:numFmt w:val="bullet"/>
      <w:lvlText w:val="•"/>
      <w:lvlJc w:val="left"/>
      <w:pPr>
        <w:ind w:left="2997" w:hanging="580"/>
      </w:pPr>
      <w:rPr>
        <w:rFonts w:hint="default"/>
      </w:rPr>
    </w:lvl>
    <w:lvl w:ilvl="3">
      <w:numFmt w:val="bullet"/>
      <w:lvlText w:val="•"/>
      <w:lvlJc w:val="left"/>
      <w:pPr>
        <w:ind w:left="3865" w:hanging="580"/>
      </w:pPr>
      <w:rPr>
        <w:rFonts w:hint="default"/>
      </w:rPr>
    </w:lvl>
    <w:lvl w:ilvl="4">
      <w:numFmt w:val="bullet"/>
      <w:lvlText w:val="•"/>
      <w:lvlJc w:val="left"/>
      <w:pPr>
        <w:ind w:left="4734" w:hanging="580"/>
      </w:pPr>
      <w:rPr>
        <w:rFonts w:hint="default"/>
      </w:rPr>
    </w:lvl>
    <w:lvl w:ilvl="5">
      <w:numFmt w:val="bullet"/>
      <w:lvlText w:val="•"/>
      <w:lvlJc w:val="left"/>
      <w:pPr>
        <w:ind w:left="5602" w:hanging="580"/>
      </w:pPr>
      <w:rPr>
        <w:rFonts w:hint="default"/>
      </w:rPr>
    </w:lvl>
    <w:lvl w:ilvl="6">
      <w:numFmt w:val="bullet"/>
      <w:lvlText w:val="•"/>
      <w:lvlJc w:val="left"/>
      <w:pPr>
        <w:ind w:left="6471" w:hanging="580"/>
      </w:pPr>
      <w:rPr>
        <w:rFonts w:hint="default"/>
      </w:rPr>
    </w:lvl>
    <w:lvl w:ilvl="7">
      <w:numFmt w:val="bullet"/>
      <w:lvlText w:val="•"/>
      <w:lvlJc w:val="left"/>
      <w:pPr>
        <w:ind w:left="7339" w:hanging="580"/>
      </w:pPr>
      <w:rPr>
        <w:rFonts w:hint="default"/>
      </w:rPr>
    </w:lvl>
    <w:lvl w:ilvl="8">
      <w:numFmt w:val="bullet"/>
      <w:lvlText w:val="•"/>
      <w:lvlJc w:val="left"/>
      <w:pPr>
        <w:ind w:left="8208" w:hanging="580"/>
      </w:pPr>
      <w:rPr>
        <w:rFonts w:hint="default"/>
      </w:rPr>
    </w:lvl>
  </w:abstractNum>
  <w:abstractNum w:abstractNumId="26" w15:restartNumberingAfterBreak="0">
    <w:nsid w:val="6DF21BB7"/>
    <w:multiLevelType w:val="hybridMultilevel"/>
    <w:tmpl w:val="E1B21C0A"/>
    <w:lvl w:ilvl="0" w:tplc="1E18D91C">
      <w:numFmt w:val="bullet"/>
      <w:lvlText w:val=""/>
      <w:lvlJc w:val="left"/>
      <w:pPr>
        <w:ind w:left="1610" w:hanging="360"/>
      </w:pPr>
      <w:rPr>
        <w:rFonts w:ascii="Symbol" w:eastAsia="Symbol" w:hAnsi="Symbol" w:cs="Symbol" w:hint="default"/>
        <w:b w:val="0"/>
        <w:bCs w:val="0"/>
        <w:i w:val="0"/>
        <w:iCs w:val="0"/>
        <w:w w:val="99"/>
        <w:sz w:val="20"/>
        <w:szCs w:val="20"/>
      </w:rPr>
    </w:lvl>
    <w:lvl w:ilvl="1" w:tplc="9DAC6AEE">
      <w:numFmt w:val="bullet"/>
      <w:lvlText w:val="•"/>
      <w:lvlJc w:val="left"/>
      <w:pPr>
        <w:ind w:left="2452" w:hanging="360"/>
      </w:pPr>
      <w:rPr>
        <w:rFonts w:hint="default"/>
      </w:rPr>
    </w:lvl>
    <w:lvl w:ilvl="2" w:tplc="8B00F5AE">
      <w:numFmt w:val="bullet"/>
      <w:lvlText w:val="•"/>
      <w:lvlJc w:val="left"/>
      <w:pPr>
        <w:ind w:left="3285" w:hanging="360"/>
      </w:pPr>
      <w:rPr>
        <w:rFonts w:hint="default"/>
      </w:rPr>
    </w:lvl>
    <w:lvl w:ilvl="3" w:tplc="D31EA57E">
      <w:numFmt w:val="bullet"/>
      <w:lvlText w:val="•"/>
      <w:lvlJc w:val="left"/>
      <w:pPr>
        <w:ind w:left="4117" w:hanging="360"/>
      </w:pPr>
      <w:rPr>
        <w:rFonts w:hint="default"/>
      </w:rPr>
    </w:lvl>
    <w:lvl w:ilvl="4" w:tplc="637C1958">
      <w:numFmt w:val="bullet"/>
      <w:lvlText w:val="•"/>
      <w:lvlJc w:val="left"/>
      <w:pPr>
        <w:ind w:left="4950" w:hanging="360"/>
      </w:pPr>
      <w:rPr>
        <w:rFonts w:hint="default"/>
      </w:rPr>
    </w:lvl>
    <w:lvl w:ilvl="5" w:tplc="8914577E">
      <w:numFmt w:val="bullet"/>
      <w:lvlText w:val="•"/>
      <w:lvlJc w:val="left"/>
      <w:pPr>
        <w:ind w:left="5782" w:hanging="360"/>
      </w:pPr>
      <w:rPr>
        <w:rFonts w:hint="default"/>
      </w:rPr>
    </w:lvl>
    <w:lvl w:ilvl="6" w:tplc="0DA82BFA">
      <w:numFmt w:val="bullet"/>
      <w:lvlText w:val="•"/>
      <w:lvlJc w:val="left"/>
      <w:pPr>
        <w:ind w:left="6615" w:hanging="360"/>
      </w:pPr>
      <w:rPr>
        <w:rFonts w:hint="default"/>
      </w:rPr>
    </w:lvl>
    <w:lvl w:ilvl="7" w:tplc="64268890">
      <w:numFmt w:val="bullet"/>
      <w:lvlText w:val="•"/>
      <w:lvlJc w:val="left"/>
      <w:pPr>
        <w:ind w:left="7447" w:hanging="360"/>
      </w:pPr>
      <w:rPr>
        <w:rFonts w:hint="default"/>
      </w:rPr>
    </w:lvl>
    <w:lvl w:ilvl="8" w:tplc="A1CC7666">
      <w:numFmt w:val="bullet"/>
      <w:lvlText w:val="•"/>
      <w:lvlJc w:val="left"/>
      <w:pPr>
        <w:ind w:left="8280" w:hanging="360"/>
      </w:pPr>
      <w:rPr>
        <w:rFonts w:hint="default"/>
      </w:rPr>
    </w:lvl>
  </w:abstractNum>
  <w:abstractNum w:abstractNumId="27" w15:restartNumberingAfterBreak="0">
    <w:nsid w:val="708B51AE"/>
    <w:multiLevelType w:val="hybridMultilevel"/>
    <w:tmpl w:val="A60EEE1E"/>
    <w:lvl w:ilvl="0" w:tplc="766A664A">
      <w:numFmt w:val="bullet"/>
      <w:lvlText w:val=""/>
      <w:lvlJc w:val="left"/>
      <w:pPr>
        <w:ind w:left="1266" w:hanging="360"/>
      </w:pPr>
      <w:rPr>
        <w:rFonts w:ascii="Symbol" w:eastAsia="Symbol" w:hAnsi="Symbol" w:cs="Symbol" w:hint="default"/>
        <w:b w:val="0"/>
        <w:bCs w:val="0"/>
        <w:i w:val="0"/>
        <w:iCs w:val="0"/>
        <w:w w:val="103"/>
        <w:sz w:val="19"/>
        <w:szCs w:val="19"/>
      </w:rPr>
    </w:lvl>
    <w:lvl w:ilvl="1" w:tplc="C018DA66">
      <w:numFmt w:val="bullet"/>
      <w:lvlText w:val="•"/>
      <w:lvlJc w:val="left"/>
      <w:pPr>
        <w:ind w:left="2072" w:hanging="360"/>
      </w:pPr>
      <w:rPr>
        <w:rFonts w:hint="default"/>
      </w:rPr>
    </w:lvl>
    <w:lvl w:ilvl="2" w:tplc="20E08018">
      <w:numFmt w:val="bullet"/>
      <w:lvlText w:val="•"/>
      <w:lvlJc w:val="left"/>
      <w:pPr>
        <w:ind w:left="2885" w:hanging="360"/>
      </w:pPr>
      <w:rPr>
        <w:rFonts w:hint="default"/>
      </w:rPr>
    </w:lvl>
    <w:lvl w:ilvl="3" w:tplc="BE2C46E6">
      <w:numFmt w:val="bullet"/>
      <w:lvlText w:val="•"/>
      <w:lvlJc w:val="left"/>
      <w:pPr>
        <w:ind w:left="3697" w:hanging="360"/>
      </w:pPr>
      <w:rPr>
        <w:rFonts w:hint="default"/>
      </w:rPr>
    </w:lvl>
    <w:lvl w:ilvl="4" w:tplc="6BBA5B0A">
      <w:numFmt w:val="bullet"/>
      <w:lvlText w:val="•"/>
      <w:lvlJc w:val="left"/>
      <w:pPr>
        <w:ind w:left="4510" w:hanging="360"/>
      </w:pPr>
      <w:rPr>
        <w:rFonts w:hint="default"/>
      </w:rPr>
    </w:lvl>
    <w:lvl w:ilvl="5" w:tplc="0E4E354C">
      <w:numFmt w:val="bullet"/>
      <w:lvlText w:val="•"/>
      <w:lvlJc w:val="left"/>
      <w:pPr>
        <w:ind w:left="5322" w:hanging="360"/>
      </w:pPr>
      <w:rPr>
        <w:rFonts w:hint="default"/>
      </w:rPr>
    </w:lvl>
    <w:lvl w:ilvl="6" w:tplc="1514105C">
      <w:numFmt w:val="bullet"/>
      <w:lvlText w:val="•"/>
      <w:lvlJc w:val="left"/>
      <w:pPr>
        <w:ind w:left="6135" w:hanging="360"/>
      </w:pPr>
      <w:rPr>
        <w:rFonts w:hint="default"/>
      </w:rPr>
    </w:lvl>
    <w:lvl w:ilvl="7" w:tplc="E468F2B6">
      <w:numFmt w:val="bullet"/>
      <w:lvlText w:val="•"/>
      <w:lvlJc w:val="left"/>
      <w:pPr>
        <w:ind w:left="6948" w:hanging="360"/>
      </w:pPr>
      <w:rPr>
        <w:rFonts w:hint="default"/>
      </w:rPr>
    </w:lvl>
    <w:lvl w:ilvl="8" w:tplc="EF7619AA">
      <w:numFmt w:val="bullet"/>
      <w:lvlText w:val="•"/>
      <w:lvlJc w:val="left"/>
      <w:pPr>
        <w:ind w:left="7760" w:hanging="360"/>
      </w:pPr>
      <w:rPr>
        <w:rFonts w:hint="default"/>
      </w:rPr>
    </w:lvl>
  </w:abstractNum>
  <w:abstractNum w:abstractNumId="28" w15:restartNumberingAfterBreak="0">
    <w:nsid w:val="78E24BF6"/>
    <w:multiLevelType w:val="multilevel"/>
    <w:tmpl w:val="CB2E340E"/>
    <w:lvl w:ilvl="0">
      <w:start w:val="2"/>
      <w:numFmt w:val="decimal"/>
      <w:lvlText w:val="%1"/>
      <w:lvlJc w:val="left"/>
      <w:pPr>
        <w:ind w:left="1256" w:hanging="580"/>
      </w:pPr>
      <w:rPr>
        <w:rFonts w:hint="default"/>
      </w:rPr>
    </w:lvl>
    <w:lvl w:ilvl="1">
      <w:numFmt w:val="decimal"/>
      <w:lvlText w:val="%1.%2"/>
      <w:lvlJc w:val="left"/>
      <w:pPr>
        <w:ind w:left="1256" w:hanging="580"/>
        <w:jc w:val="right"/>
      </w:pPr>
      <w:rPr>
        <w:rFonts w:hint="default"/>
        <w:w w:val="100"/>
      </w:rPr>
    </w:lvl>
    <w:lvl w:ilvl="2">
      <w:numFmt w:val="bullet"/>
      <w:lvlText w:val="•"/>
      <w:lvlJc w:val="left"/>
      <w:pPr>
        <w:ind w:left="2997" w:hanging="580"/>
      </w:pPr>
      <w:rPr>
        <w:rFonts w:hint="default"/>
      </w:rPr>
    </w:lvl>
    <w:lvl w:ilvl="3">
      <w:numFmt w:val="bullet"/>
      <w:lvlText w:val="•"/>
      <w:lvlJc w:val="left"/>
      <w:pPr>
        <w:ind w:left="3865" w:hanging="580"/>
      </w:pPr>
      <w:rPr>
        <w:rFonts w:hint="default"/>
      </w:rPr>
    </w:lvl>
    <w:lvl w:ilvl="4">
      <w:numFmt w:val="bullet"/>
      <w:lvlText w:val="•"/>
      <w:lvlJc w:val="left"/>
      <w:pPr>
        <w:ind w:left="4734" w:hanging="580"/>
      </w:pPr>
      <w:rPr>
        <w:rFonts w:hint="default"/>
      </w:rPr>
    </w:lvl>
    <w:lvl w:ilvl="5">
      <w:numFmt w:val="bullet"/>
      <w:lvlText w:val="•"/>
      <w:lvlJc w:val="left"/>
      <w:pPr>
        <w:ind w:left="5602" w:hanging="580"/>
      </w:pPr>
      <w:rPr>
        <w:rFonts w:hint="default"/>
      </w:rPr>
    </w:lvl>
    <w:lvl w:ilvl="6">
      <w:numFmt w:val="bullet"/>
      <w:lvlText w:val="•"/>
      <w:lvlJc w:val="left"/>
      <w:pPr>
        <w:ind w:left="6471" w:hanging="580"/>
      </w:pPr>
      <w:rPr>
        <w:rFonts w:hint="default"/>
      </w:rPr>
    </w:lvl>
    <w:lvl w:ilvl="7">
      <w:numFmt w:val="bullet"/>
      <w:lvlText w:val="•"/>
      <w:lvlJc w:val="left"/>
      <w:pPr>
        <w:ind w:left="7339" w:hanging="580"/>
      </w:pPr>
      <w:rPr>
        <w:rFonts w:hint="default"/>
      </w:rPr>
    </w:lvl>
    <w:lvl w:ilvl="8">
      <w:numFmt w:val="bullet"/>
      <w:lvlText w:val="•"/>
      <w:lvlJc w:val="left"/>
      <w:pPr>
        <w:ind w:left="8208" w:hanging="580"/>
      </w:pPr>
      <w:rPr>
        <w:rFonts w:hint="default"/>
      </w:rPr>
    </w:lvl>
  </w:abstractNum>
  <w:abstractNum w:abstractNumId="29" w15:restartNumberingAfterBreak="0">
    <w:nsid w:val="793F32DD"/>
    <w:multiLevelType w:val="hybridMultilevel"/>
    <w:tmpl w:val="E7F05E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29"/>
  </w:num>
  <w:num w:numId="2">
    <w:abstractNumId w:val="8"/>
  </w:num>
  <w:num w:numId="3">
    <w:abstractNumId w:val="15"/>
  </w:num>
  <w:num w:numId="4">
    <w:abstractNumId w:val="11"/>
  </w:num>
  <w:num w:numId="5">
    <w:abstractNumId w:val="20"/>
  </w:num>
  <w:num w:numId="6">
    <w:abstractNumId w:val="7"/>
  </w:num>
  <w:num w:numId="7">
    <w:abstractNumId w:val="28"/>
  </w:num>
  <w:num w:numId="8">
    <w:abstractNumId w:val="25"/>
  </w:num>
  <w:num w:numId="9">
    <w:abstractNumId w:val="3"/>
  </w:num>
  <w:num w:numId="10">
    <w:abstractNumId w:val="26"/>
  </w:num>
  <w:num w:numId="11">
    <w:abstractNumId w:val="16"/>
  </w:num>
  <w:num w:numId="12">
    <w:abstractNumId w:val="9"/>
  </w:num>
  <w:num w:numId="13">
    <w:abstractNumId w:val="2"/>
  </w:num>
  <w:num w:numId="14">
    <w:abstractNumId w:val="21"/>
  </w:num>
  <w:num w:numId="15">
    <w:abstractNumId w:val="4"/>
  </w:num>
  <w:num w:numId="16">
    <w:abstractNumId w:val="22"/>
  </w:num>
  <w:num w:numId="17">
    <w:abstractNumId w:val="12"/>
  </w:num>
  <w:num w:numId="18">
    <w:abstractNumId w:val="24"/>
  </w:num>
  <w:num w:numId="19">
    <w:abstractNumId w:val="0"/>
  </w:num>
  <w:num w:numId="20">
    <w:abstractNumId w:val="6"/>
  </w:num>
  <w:num w:numId="21">
    <w:abstractNumId w:val="5"/>
  </w:num>
  <w:num w:numId="22">
    <w:abstractNumId w:val="1"/>
  </w:num>
  <w:num w:numId="23">
    <w:abstractNumId w:val="17"/>
  </w:num>
  <w:num w:numId="24">
    <w:abstractNumId w:val="13"/>
  </w:num>
  <w:num w:numId="25">
    <w:abstractNumId w:val="10"/>
  </w:num>
  <w:num w:numId="26">
    <w:abstractNumId w:val="14"/>
  </w:num>
  <w:num w:numId="27">
    <w:abstractNumId w:val="27"/>
  </w:num>
  <w:num w:numId="28">
    <w:abstractNumId w:val="23"/>
  </w:num>
  <w:num w:numId="29">
    <w:abstractNumId w:val="19"/>
  </w:num>
  <w:num w:numId="30">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noPunctuationKerning/>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E5719"/>
    <w:rsid w:val="0000239D"/>
    <w:rsid w:val="000032F7"/>
    <w:rsid w:val="000077B0"/>
    <w:rsid w:val="000122AD"/>
    <w:rsid w:val="00013748"/>
    <w:rsid w:val="00014192"/>
    <w:rsid w:val="000154DD"/>
    <w:rsid w:val="000226FB"/>
    <w:rsid w:val="00022F3C"/>
    <w:rsid w:val="000262DF"/>
    <w:rsid w:val="000313A0"/>
    <w:rsid w:val="00033575"/>
    <w:rsid w:val="00035200"/>
    <w:rsid w:val="000414F2"/>
    <w:rsid w:val="000456A1"/>
    <w:rsid w:val="00045F01"/>
    <w:rsid w:val="00051B2C"/>
    <w:rsid w:val="00053945"/>
    <w:rsid w:val="000545A0"/>
    <w:rsid w:val="00057B39"/>
    <w:rsid w:val="000604E2"/>
    <w:rsid w:val="00062C40"/>
    <w:rsid w:val="000648FC"/>
    <w:rsid w:val="00066DD5"/>
    <w:rsid w:val="000727DC"/>
    <w:rsid w:val="0007515A"/>
    <w:rsid w:val="0007686E"/>
    <w:rsid w:val="000816CE"/>
    <w:rsid w:val="00096EAC"/>
    <w:rsid w:val="000A0220"/>
    <w:rsid w:val="000A0BC7"/>
    <w:rsid w:val="000A2BD2"/>
    <w:rsid w:val="000A39ED"/>
    <w:rsid w:val="000A58CC"/>
    <w:rsid w:val="000A64C9"/>
    <w:rsid w:val="000A7362"/>
    <w:rsid w:val="000B1B44"/>
    <w:rsid w:val="000C7A77"/>
    <w:rsid w:val="000D05F8"/>
    <w:rsid w:val="000D062C"/>
    <w:rsid w:val="000D19AF"/>
    <w:rsid w:val="000D4813"/>
    <w:rsid w:val="000D49CE"/>
    <w:rsid w:val="000E51B0"/>
    <w:rsid w:val="000E6362"/>
    <w:rsid w:val="000E6D08"/>
    <w:rsid w:val="000F3F6D"/>
    <w:rsid w:val="00101077"/>
    <w:rsid w:val="001028A3"/>
    <w:rsid w:val="0010333E"/>
    <w:rsid w:val="0010386C"/>
    <w:rsid w:val="00103D51"/>
    <w:rsid w:val="00104F1F"/>
    <w:rsid w:val="00111ED4"/>
    <w:rsid w:val="00112733"/>
    <w:rsid w:val="00112879"/>
    <w:rsid w:val="00112E6D"/>
    <w:rsid w:val="00116840"/>
    <w:rsid w:val="00122728"/>
    <w:rsid w:val="00127E5E"/>
    <w:rsid w:val="0013394E"/>
    <w:rsid w:val="001364B0"/>
    <w:rsid w:val="001464A4"/>
    <w:rsid w:val="00146841"/>
    <w:rsid w:val="001469BB"/>
    <w:rsid w:val="001517D4"/>
    <w:rsid w:val="00160E0F"/>
    <w:rsid w:val="001612CB"/>
    <w:rsid w:val="00163F52"/>
    <w:rsid w:val="0017319C"/>
    <w:rsid w:val="001823E3"/>
    <w:rsid w:val="001855EB"/>
    <w:rsid w:val="00190858"/>
    <w:rsid w:val="001A2DD1"/>
    <w:rsid w:val="001A52D1"/>
    <w:rsid w:val="001A7000"/>
    <w:rsid w:val="001B0F67"/>
    <w:rsid w:val="001B23A1"/>
    <w:rsid w:val="001C0A79"/>
    <w:rsid w:val="001C1CE5"/>
    <w:rsid w:val="001C2B42"/>
    <w:rsid w:val="001C6550"/>
    <w:rsid w:val="001D116F"/>
    <w:rsid w:val="001D272A"/>
    <w:rsid w:val="001D4F49"/>
    <w:rsid w:val="001D69F4"/>
    <w:rsid w:val="001D6FC0"/>
    <w:rsid w:val="001D7026"/>
    <w:rsid w:val="001E3CC7"/>
    <w:rsid w:val="001E3DB8"/>
    <w:rsid w:val="001E3FAF"/>
    <w:rsid w:val="001E5E3B"/>
    <w:rsid w:val="001F23CF"/>
    <w:rsid w:val="001F37FE"/>
    <w:rsid w:val="001F6850"/>
    <w:rsid w:val="001F7884"/>
    <w:rsid w:val="002041AC"/>
    <w:rsid w:val="00204EB2"/>
    <w:rsid w:val="00216E93"/>
    <w:rsid w:val="00216F49"/>
    <w:rsid w:val="00235A3E"/>
    <w:rsid w:val="00241293"/>
    <w:rsid w:val="00243455"/>
    <w:rsid w:val="0024366A"/>
    <w:rsid w:val="002449D3"/>
    <w:rsid w:val="00252F73"/>
    <w:rsid w:val="002540D5"/>
    <w:rsid w:val="00260939"/>
    <w:rsid w:val="00261755"/>
    <w:rsid w:val="00264859"/>
    <w:rsid w:val="002742E7"/>
    <w:rsid w:val="00275696"/>
    <w:rsid w:val="00284B92"/>
    <w:rsid w:val="002878FB"/>
    <w:rsid w:val="00292A40"/>
    <w:rsid w:val="002946A1"/>
    <w:rsid w:val="00297D7A"/>
    <w:rsid w:val="00297D9F"/>
    <w:rsid w:val="002A0331"/>
    <w:rsid w:val="002A0351"/>
    <w:rsid w:val="002A0762"/>
    <w:rsid w:val="002A461F"/>
    <w:rsid w:val="002A6FD0"/>
    <w:rsid w:val="002A7C10"/>
    <w:rsid w:val="002B0C04"/>
    <w:rsid w:val="002B26CE"/>
    <w:rsid w:val="002B3495"/>
    <w:rsid w:val="002B4BEC"/>
    <w:rsid w:val="002B4D7C"/>
    <w:rsid w:val="002B7137"/>
    <w:rsid w:val="002C6C39"/>
    <w:rsid w:val="002C774E"/>
    <w:rsid w:val="002C7ACC"/>
    <w:rsid w:val="002D2B0E"/>
    <w:rsid w:val="002E02F3"/>
    <w:rsid w:val="002E22D2"/>
    <w:rsid w:val="002E26FD"/>
    <w:rsid w:val="002E4720"/>
    <w:rsid w:val="002E4979"/>
    <w:rsid w:val="002E6BFA"/>
    <w:rsid w:val="002F3A88"/>
    <w:rsid w:val="002F4AFB"/>
    <w:rsid w:val="002F5285"/>
    <w:rsid w:val="002F603A"/>
    <w:rsid w:val="002F71CD"/>
    <w:rsid w:val="00300E99"/>
    <w:rsid w:val="0030201F"/>
    <w:rsid w:val="00304154"/>
    <w:rsid w:val="00304CCC"/>
    <w:rsid w:val="0030501C"/>
    <w:rsid w:val="00307380"/>
    <w:rsid w:val="0030773F"/>
    <w:rsid w:val="00310FFD"/>
    <w:rsid w:val="0031331E"/>
    <w:rsid w:val="0031417F"/>
    <w:rsid w:val="00315229"/>
    <w:rsid w:val="003158FC"/>
    <w:rsid w:val="0032362F"/>
    <w:rsid w:val="00323AE8"/>
    <w:rsid w:val="00332D75"/>
    <w:rsid w:val="00332DD0"/>
    <w:rsid w:val="00335ECB"/>
    <w:rsid w:val="00336725"/>
    <w:rsid w:val="00337350"/>
    <w:rsid w:val="0034371D"/>
    <w:rsid w:val="0034382D"/>
    <w:rsid w:val="00344D5E"/>
    <w:rsid w:val="0034714B"/>
    <w:rsid w:val="003511D4"/>
    <w:rsid w:val="00351787"/>
    <w:rsid w:val="0035305E"/>
    <w:rsid w:val="003549F3"/>
    <w:rsid w:val="0035661D"/>
    <w:rsid w:val="00363791"/>
    <w:rsid w:val="003724F6"/>
    <w:rsid w:val="00373E2C"/>
    <w:rsid w:val="00374236"/>
    <w:rsid w:val="00380E05"/>
    <w:rsid w:val="00381B24"/>
    <w:rsid w:val="00381DD7"/>
    <w:rsid w:val="003820FD"/>
    <w:rsid w:val="00390186"/>
    <w:rsid w:val="00391269"/>
    <w:rsid w:val="003921F6"/>
    <w:rsid w:val="003930AB"/>
    <w:rsid w:val="00393374"/>
    <w:rsid w:val="003939CA"/>
    <w:rsid w:val="00394406"/>
    <w:rsid w:val="00395133"/>
    <w:rsid w:val="003A0EF9"/>
    <w:rsid w:val="003A0F2A"/>
    <w:rsid w:val="003A3945"/>
    <w:rsid w:val="003A3D4C"/>
    <w:rsid w:val="003A59E2"/>
    <w:rsid w:val="003B0CCB"/>
    <w:rsid w:val="003B1870"/>
    <w:rsid w:val="003B2679"/>
    <w:rsid w:val="003B2A7D"/>
    <w:rsid w:val="003B69CC"/>
    <w:rsid w:val="003C5B2F"/>
    <w:rsid w:val="003C7D62"/>
    <w:rsid w:val="003D39C2"/>
    <w:rsid w:val="003E0985"/>
    <w:rsid w:val="003F1C4C"/>
    <w:rsid w:val="003F4991"/>
    <w:rsid w:val="003F57F8"/>
    <w:rsid w:val="004004A2"/>
    <w:rsid w:val="00402BEB"/>
    <w:rsid w:val="00410215"/>
    <w:rsid w:val="00413DC3"/>
    <w:rsid w:val="00415853"/>
    <w:rsid w:val="00416F39"/>
    <w:rsid w:val="00417578"/>
    <w:rsid w:val="00417D30"/>
    <w:rsid w:val="00421AD3"/>
    <w:rsid w:val="004263CB"/>
    <w:rsid w:val="00426DDD"/>
    <w:rsid w:val="00427265"/>
    <w:rsid w:val="00433D22"/>
    <w:rsid w:val="00437685"/>
    <w:rsid w:val="004417BF"/>
    <w:rsid w:val="00443CEB"/>
    <w:rsid w:val="00443FE4"/>
    <w:rsid w:val="00451295"/>
    <w:rsid w:val="0046299C"/>
    <w:rsid w:val="004634C9"/>
    <w:rsid w:val="00465000"/>
    <w:rsid w:val="004701D3"/>
    <w:rsid w:val="00471CA3"/>
    <w:rsid w:val="004757A3"/>
    <w:rsid w:val="00475F0D"/>
    <w:rsid w:val="004763EC"/>
    <w:rsid w:val="00476453"/>
    <w:rsid w:val="00476FCE"/>
    <w:rsid w:val="0048153F"/>
    <w:rsid w:val="00484C3E"/>
    <w:rsid w:val="00487EC6"/>
    <w:rsid w:val="00492AB4"/>
    <w:rsid w:val="00497926"/>
    <w:rsid w:val="004A0B81"/>
    <w:rsid w:val="004A296B"/>
    <w:rsid w:val="004A594A"/>
    <w:rsid w:val="004A621D"/>
    <w:rsid w:val="004B2433"/>
    <w:rsid w:val="004B3D4D"/>
    <w:rsid w:val="004B4FB9"/>
    <w:rsid w:val="004B5908"/>
    <w:rsid w:val="004C04FB"/>
    <w:rsid w:val="004C33E4"/>
    <w:rsid w:val="004D14F8"/>
    <w:rsid w:val="004D4049"/>
    <w:rsid w:val="004D7B60"/>
    <w:rsid w:val="004D7FCE"/>
    <w:rsid w:val="004E2C5A"/>
    <w:rsid w:val="004E3C0E"/>
    <w:rsid w:val="004E6328"/>
    <w:rsid w:val="004F0E0A"/>
    <w:rsid w:val="004F1436"/>
    <w:rsid w:val="004F1652"/>
    <w:rsid w:val="004F1FAC"/>
    <w:rsid w:val="004F444B"/>
    <w:rsid w:val="00501C0F"/>
    <w:rsid w:val="0050351B"/>
    <w:rsid w:val="00507D65"/>
    <w:rsid w:val="00510634"/>
    <w:rsid w:val="005110E0"/>
    <w:rsid w:val="00512F4B"/>
    <w:rsid w:val="0051478E"/>
    <w:rsid w:val="00514912"/>
    <w:rsid w:val="005159DE"/>
    <w:rsid w:val="0051738B"/>
    <w:rsid w:val="00517930"/>
    <w:rsid w:val="005271A5"/>
    <w:rsid w:val="0053253F"/>
    <w:rsid w:val="00533111"/>
    <w:rsid w:val="00533CF2"/>
    <w:rsid w:val="005342AA"/>
    <w:rsid w:val="00535ABB"/>
    <w:rsid w:val="00536B56"/>
    <w:rsid w:val="00540B64"/>
    <w:rsid w:val="00541D35"/>
    <w:rsid w:val="0054679B"/>
    <w:rsid w:val="00546E22"/>
    <w:rsid w:val="005504C9"/>
    <w:rsid w:val="00555263"/>
    <w:rsid w:val="0055729F"/>
    <w:rsid w:val="005676C0"/>
    <w:rsid w:val="0057287B"/>
    <w:rsid w:val="005736C6"/>
    <w:rsid w:val="00574F6B"/>
    <w:rsid w:val="0058007B"/>
    <w:rsid w:val="00580661"/>
    <w:rsid w:val="00581804"/>
    <w:rsid w:val="0058183A"/>
    <w:rsid w:val="00585405"/>
    <w:rsid w:val="005873B1"/>
    <w:rsid w:val="00592149"/>
    <w:rsid w:val="0059391E"/>
    <w:rsid w:val="005943BF"/>
    <w:rsid w:val="005945EB"/>
    <w:rsid w:val="005958AD"/>
    <w:rsid w:val="005A03EE"/>
    <w:rsid w:val="005A0A59"/>
    <w:rsid w:val="005A6F8A"/>
    <w:rsid w:val="005A761E"/>
    <w:rsid w:val="005B178D"/>
    <w:rsid w:val="005B2A19"/>
    <w:rsid w:val="005B320C"/>
    <w:rsid w:val="005B5100"/>
    <w:rsid w:val="005C438E"/>
    <w:rsid w:val="005C4B3F"/>
    <w:rsid w:val="005C7F9E"/>
    <w:rsid w:val="005D0739"/>
    <w:rsid w:val="005D1278"/>
    <w:rsid w:val="005D26D9"/>
    <w:rsid w:val="005E0BB7"/>
    <w:rsid w:val="005F43E4"/>
    <w:rsid w:val="00607878"/>
    <w:rsid w:val="0061008A"/>
    <w:rsid w:val="00610524"/>
    <w:rsid w:val="006153EF"/>
    <w:rsid w:val="00621276"/>
    <w:rsid w:val="0062343B"/>
    <w:rsid w:val="00624991"/>
    <w:rsid w:val="006325E7"/>
    <w:rsid w:val="00634AEC"/>
    <w:rsid w:val="006350C0"/>
    <w:rsid w:val="0063627A"/>
    <w:rsid w:val="00637696"/>
    <w:rsid w:val="00642A93"/>
    <w:rsid w:val="00643D69"/>
    <w:rsid w:val="00644E77"/>
    <w:rsid w:val="00647D91"/>
    <w:rsid w:val="006522AD"/>
    <w:rsid w:val="00656442"/>
    <w:rsid w:val="00657A60"/>
    <w:rsid w:val="00666A7E"/>
    <w:rsid w:val="00666D34"/>
    <w:rsid w:val="00671053"/>
    <w:rsid w:val="00671ECB"/>
    <w:rsid w:val="00672DDA"/>
    <w:rsid w:val="006815E3"/>
    <w:rsid w:val="006855A7"/>
    <w:rsid w:val="00692627"/>
    <w:rsid w:val="00692B0B"/>
    <w:rsid w:val="006943A6"/>
    <w:rsid w:val="00695F63"/>
    <w:rsid w:val="00695F9A"/>
    <w:rsid w:val="0069715D"/>
    <w:rsid w:val="006A2A7B"/>
    <w:rsid w:val="006A317F"/>
    <w:rsid w:val="006A62DC"/>
    <w:rsid w:val="006A75DA"/>
    <w:rsid w:val="006B0698"/>
    <w:rsid w:val="006B0F59"/>
    <w:rsid w:val="006B1B89"/>
    <w:rsid w:val="006B1E81"/>
    <w:rsid w:val="006C4865"/>
    <w:rsid w:val="006C621E"/>
    <w:rsid w:val="006C7983"/>
    <w:rsid w:val="006D249D"/>
    <w:rsid w:val="006E00FE"/>
    <w:rsid w:val="006E17E9"/>
    <w:rsid w:val="006F20BA"/>
    <w:rsid w:val="006F24B6"/>
    <w:rsid w:val="006F28DB"/>
    <w:rsid w:val="006F3417"/>
    <w:rsid w:val="006F4068"/>
    <w:rsid w:val="006F467A"/>
    <w:rsid w:val="006F522F"/>
    <w:rsid w:val="006F6810"/>
    <w:rsid w:val="006F7099"/>
    <w:rsid w:val="007007B0"/>
    <w:rsid w:val="00710788"/>
    <w:rsid w:val="00710F60"/>
    <w:rsid w:val="00712CD8"/>
    <w:rsid w:val="00713128"/>
    <w:rsid w:val="007256FF"/>
    <w:rsid w:val="0073132B"/>
    <w:rsid w:val="00734738"/>
    <w:rsid w:val="007351CE"/>
    <w:rsid w:val="0073603D"/>
    <w:rsid w:val="007414A0"/>
    <w:rsid w:val="00746AC1"/>
    <w:rsid w:val="00754146"/>
    <w:rsid w:val="00755CEE"/>
    <w:rsid w:val="0076291B"/>
    <w:rsid w:val="00765B49"/>
    <w:rsid w:val="00771DBD"/>
    <w:rsid w:val="00772376"/>
    <w:rsid w:val="00773C21"/>
    <w:rsid w:val="007876E7"/>
    <w:rsid w:val="00793F38"/>
    <w:rsid w:val="007A044E"/>
    <w:rsid w:val="007A6927"/>
    <w:rsid w:val="007A6BF0"/>
    <w:rsid w:val="007B3068"/>
    <w:rsid w:val="007B3451"/>
    <w:rsid w:val="007B4F1D"/>
    <w:rsid w:val="007C0EAF"/>
    <w:rsid w:val="007C19FD"/>
    <w:rsid w:val="007D2A20"/>
    <w:rsid w:val="007D3802"/>
    <w:rsid w:val="007E0147"/>
    <w:rsid w:val="007E2716"/>
    <w:rsid w:val="007E3D3F"/>
    <w:rsid w:val="007E4510"/>
    <w:rsid w:val="007E5719"/>
    <w:rsid w:val="00800560"/>
    <w:rsid w:val="008047D9"/>
    <w:rsid w:val="008056A1"/>
    <w:rsid w:val="00806B85"/>
    <w:rsid w:val="0081123F"/>
    <w:rsid w:val="008143A9"/>
    <w:rsid w:val="008233B2"/>
    <w:rsid w:val="00824D69"/>
    <w:rsid w:val="0082705D"/>
    <w:rsid w:val="00827462"/>
    <w:rsid w:val="00827F9F"/>
    <w:rsid w:val="00831F05"/>
    <w:rsid w:val="0083304E"/>
    <w:rsid w:val="008414D7"/>
    <w:rsid w:val="00844A13"/>
    <w:rsid w:val="00847217"/>
    <w:rsid w:val="00856004"/>
    <w:rsid w:val="00857AAE"/>
    <w:rsid w:val="00870D1F"/>
    <w:rsid w:val="008723B9"/>
    <w:rsid w:val="0087358A"/>
    <w:rsid w:val="0087520F"/>
    <w:rsid w:val="008832BA"/>
    <w:rsid w:val="0088331B"/>
    <w:rsid w:val="00883639"/>
    <w:rsid w:val="00886778"/>
    <w:rsid w:val="00890C5B"/>
    <w:rsid w:val="00894C12"/>
    <w:rsid w:val="008A6E56"/>
    <w:rsid w:val="008B44D6"/>
    <w:rsid w:val="008D615C"/>
    <w:rsid w:val="008E1066"/>
    <w:rsid w:val="008E1C33"/>
    <w:rsid w:val="008E6247"/>
    <w:rsid w:val="00901985"/>
    <w:rsid w:val="009061BF"/>
    <w:rsid w:val="00906717"/>
    <w:rsid w:val="00911138"/>
    <w:rsid w:val="00915B77"/>
    <w:rsid w:val="009235F4"/>
    <w:rsid w:val="0092504C"/>
    <w:rsid w:val="0092631A"/>
    <w:rsid w:val="00932B44"/>
    <w:rsid w:val="00935F75"/>
    <w:rsid w:val="00940CF0"/>
    <w:rsid w:val="00943E1D"/>
    <w:rsid w:val="009473AD"/>
    <w:rsid w:val="00950575"/>
    <w:rsid w:val="00953F2F"/>
    <w:rsid w:val="00955B5A"/>
    <w:rsid w:val="009661BE"/>
    <w:rsid w:val="00972D25"/>
    <w:rsid w:val="0097323F"/>
    <w:rsid w:val="0097558C"/>
    <w:rsid w:val="00977DBA"/>
    <w:rsid w:val="009804FE"/>
    <w:rsid w:val="00982237"/>
    <w:rsid w:val="009849FD"/>
    <w:rsid w:val="009857C0"/>
    <w:rsid w:val="00985A59"/>
    <w:rsid w:val="009968E0"/>
    <w:rsid w:val="009A1DFD"/>
    <w:rsid w:val="009A3245"/>
    <w:rsid w:val="009A5DF3"/>
    <w:rsid w:val="009B29BC"/>
    <w:rsid w:val="009B5289"/>
    <w:rsid w:val="009B79C2"/>
    <w:rsid w:val="009C1679"/>
    <w:rsid w:val="009C31D5"/>
    <w:rsid w:val="009C5413"/>
    <w:rsid w:val="009C5830"/>
    <w:rsid w:val="009C66C4"/>
    <w:rsid w:val="009D1A60"/>
    <w:rsid w:val="009D77D6"/>
    <w:rsid w:val="009E2AE0"/>
    <w:rsid w:val="009E49BA"/>
    <w:rsid w:val="009E55D9"/>
    <w:rsid w:val="009E5E89"/>
    <w:rsid w:val="009F6C0C"/>
    <w:rsid w:val="00A00103"/>
    <w:rsid w:val="00A0352A"/>
    <w:rsid w:val="00A03A13"/>
    <w:rsid w:val="00A055E4"/>
    <w:rsid w:val="00A06286"/>
    <w:rsid w:val="00A0660D"/>
    <w:rsid w:val="00A06A85"/>
    <w:rsid w:val="00A074EB"/>
    <w:rsid w:val="00A11BBE"/>
    <w:rsid w:val="00A2027A"/>
    <w:rsid w:val="00A23DFA"/>
    <w:rsid w:val="00A2643E"/>
    <w:rsid w:val="00A2700F"/>
    <w:rsid w:val="00A30183"/>
    <w:rsid w:val="00A30E7B"/>
    <w:rsid w:val="00A34E9B"/>
    <w:rsid w:val="00A34F4C"/>
    <w:rsid w:val="00A37780"/>
    <w:rsid w:val="00A3788B"/>
    <w:rsid w:val="00A378F7"/>
    <w:rsid w:val="00A40315"/>
    <w:rsid w:val="00A443BF"/>
    <w:rsid w:val="00A45441"/>
    <w:rsid w:val="00A47DD2"/>
    <w:rsid w:val="00A51208"/>
    <w:rsid w:val="00A51763"/>
    <w:rsid w:val="00A550D6"/>
    <w:rsid w:val="00A569C7"/>
    <w:rsid w:val="00A71133"/>
    <w:rsid w:val="00A712A2"/>
    <w:rsid w:val="00A743BB"/>
    <w:rsid w:val="00A765A2"/>
    <w:rsid w:val="00A82187"/>
    <w:rsid w:val="00A825D0"/>
    <w:rsid w:val="00A83DA8"/>
    <w:rsid w:val="00A86D35"/>
    <w:rsid w:val="00A87ACF"/>
    <w:rsid w:val="00A908BD"/>
    <w:rsid w:val="00A95931"/>
    <w:rsid w:val="00A95DC1"/>
    <w:rsid w:val="00AA2B0C"/>
    <w:rsid w:val="00AA3F37"/>
    <w:rsid w:val="00AB2579"/>
    <w:rsid w:val="00AB342F"/>
    <w:rsid w:val="00AB410D"/>
    <w:rsid w:val="00AC16DE"/>
    <w:rsid w:val="00AC1E03"/>
    <w:rsid w:val="00AC24EE"/>
    <w:rsid w:val="00AC2869"/>
    <w:rsid w:val="00AC5324"/>
    <w:rsid w:val="00AD1225"/>
    <w:rsid w:val="00AD656E"/>
    <w:rsid w:val="00AD67FD"/>
    <w:rsid w:val="00AE2D2E"/>
    <w:rsid w:val="00AE2D68"/>
    <w:rsid w:val="00AE367C"/>
    <w:rsid w:val="00AE582B"/>
    <w:rsid w:val="00AE7A2E"/>
    <w:rsid w:val="00AF0433"/>
    <w:rsid w:val="00B009DC"/>
    <w:rsid w:val="00B03515"/>
    <w:rsid w:val="00B045F8"/>
    <w:rsid w:val="00B064ED"/>
    <w:rsid w:val="00B17B59"/>
    <w:rsid w:val="00B20236"/>
    <w:rsid w:val="00B317D8"/>
    <w:rsid w:val="00B31C37"/>
    <w:rsid w:val="00B435E4"/>
    <w:rsid w:val="00B4450C"/>
    <w:rsid w:val="00B45EEA"/>
    <w:rsid w:val="00B46E5F"/>
    <w:rsid w:val="00B50034"/>
    <w:rsid w:val="00B54B12"/>
    <w:rsid w:val="00B60244"/>
    <w:rsid w:val="00B61434"/>
    <w:rsid w:val="00B61FFA"/>
    <w:rsid w:val="00B6272B"/>
    <w:rsid w:val="00B63B7C"/>
    <w:rsid w:val="00B65D07"/>
    <w:rsid w:val="00B712C9"/>
    <w:rsid w:val="00B712CE"/>
    <w:rsid w:val="00B720AA"/>
    <w:rsid w:val="00B764D6"/>
    <w:rsid w:val="00B77D2E"/>
    <w:rsid w:val="00B77EF4"/>
    <w:rsid w:val="00B803B9"/>
    <w:rsid w:val="00B80D58"/>
    <w:rsid w:val="00B80EEA"/>
    <w:rsid w:val="00B83014"/>
    <w:rsid w:val="00B9089C"/>
    <w:rsid w:val="00B9734A"/>
    <w:rsid w:val="00B97863"/>
    <w:rsid w:val="00BB135B"/>
    <w:rsid w:val="00BB160D"/>
    <w:rsid w:val="00BB7115"/>
    <w:rsid w:val="00BC28F8"/>
    <w:rsid w:val="00BC34EC"/>
    <w:rsid w:val="00BC4718"/>
    <w:rsid w:val="00BC645D"/>
    <w:rsid w:val="00BD08EE"/>
    <w:rsid w:val="00BD1094"/>
    <w:rsid w:val="00BD5D69"/>
    <w:rsid w:val="00BD6ADE"/>
    <w:rsid w:val="00BE2203"/>
    <w:rsid w:val="00BE593B"/>
    <w:rsid w:val="00BE6D17"/>
    <w:rsid w:val="00BE70BE"/>
    <w:rsid w:val="00BF1405"/>
    <w:rsid w:val="00BF6A9B"/>
    <w:rsid w:val="00BF7B02"/>
    <w:rsid w:val="00C072D6"/>
    <w:rsid w:val="00C12905"/>
    <w:rsid w:val="00C20437"/>
    <w:rsid w:val="00C20CE6"/>
    <w:rsid w:val="00C20D8B"/>
    <w:rsid w:val="00C21297"/>
    <w:rsid w:val="00C2601D"/>
    <w:rsid w:val="00C32B67"/>
    <w:rsid w:val="00C33781"/>
    <w:rsid w:val="00C34049"/>
    <w:rsid w:val="00C34901"/>
    <w:rsid w:val="00C365DC"/>
    <w:rsid w:val="00C3798F"/>
    <w:rsid w:val="00C426AE"/>
    <w:rsid w:val="00C517B8"/>
    <w:rsid w:val="00C525FE"/>
    <w:rsid w:val="00C53A3F"/>
    <w:rsid w:val="00C57D08"/>
    <w:rsid w:val="00C6430C"/>
    <w:rsid w:val="00C705DD"/>
    <w:rsid w:val="00C734F3"/>
    <w:rsid w:val="00C74540"/>
    <w:rsid w:val="00C803D4"/>
    <w:rsid w:val="00C81245"/>
    <w:rsid w:val="00C85C2C"/>
    <w:rsid w:val="00C86C9D"/>
    <w:rsid w:val="00C87500"/>
    <w:rsid w:val="00C9098B"/>
    <w:rsid w:val="00C924C7"/>
    <w:rsid w:val="00C94378"/>
    <w:rsid w:val="00CA0CD4"/>
    <w:rsid w:val="00CA1185"/>
    <w:rsid w:val="00CA1C83"/>
    <w:rsid w:val="00CA40B9"/>
    <w:rsid w:val="00CA52EE"/>
    <w:rsid w:val="00CB1069"/>
    <w:rsid w:val="00CB7E60"/>
    <w:rsid w:val="00CC4AED"/>
    <w:rsid w:val="00CC6CB0"/>
    <w:rsid w:val="00CC798F"/>
    <w:rsid w:val="00CD115E"/>
    <w:rsid w:val="00CD11DA"/>
    <w:rsid w:val="00CD1F7B"/>
    <w:rsid w:val="00CD2250"/>
    <w:rsid w:val="00CD4B20"/>
    <w:rsid w:val="00CD70DA"/>
    <w:rsid w:val="00CE1BE7"/>
    <w:rsid w:val="00CE207F"/>
    <w:rsid w:val="00CE5B74"/>
    <w:rsid w:val="00CF529E"/>
    <w:rsid w:val="00CF5523"/>
    <w:rsid w:val="00D00A0D"/>
    <w:rsid w:val="00D01B7B"/>
    <w:rsid w:val="00D12639"/>
    <w:rsid w:val="00D13815"/>
    <w:rsid w:val="00D153A4"/>
    <w:rsid w:val="00D15528"/>
    <w:rsid w:val="00D170EA"/>
    <w:rsid w:val="00D2332B"/>
    <w:rsid w:val="00D23EC8"/>
    <w:rsid w:val="00D25BFC"/>
    <w:rsid w:val="00D311B8"/>
    <w:rsid w:val="00D3354F"/>
    <w:rsid w:val="00D33851"/>
    <w:rsid w:val="00D33FFE"/>
    <w:rsid w:val="00D355A0"/>
    <w:rsid w:val="00D415A7"/>
    <w:rsid w:val="00D424D0"/>
    <w:rsid w:val="00D445FC"/>
    <w:rsid w:val="00D53EA6"/>
    <w:rsid w:val="00D56845"/>
    <w:rsid w:val="00D614E4"/>
    <w:rsid w:val="00D61D11"/>
    <w:rsid w:val="00D64346"/>
    <w:rsid w:val="00D73744"/>
    <w:rsid w:val="00D74368"/>
    <w:rsid w:val="00D7532A"/>
    <w:rsid w:val="00D75850"/>
    <w:rsid w:val="00D9004F"/>
    <w:rsid w:val="00D9610E"/>
    <w:rsid w:val="00DA021A"/>
    <w:rsid w:val="00DA2E16"/>
    <w:rsid w:val="00DA32CE"/>
    <w:rsid w:val="00DA635F"/>
    <w:rsid w:val="00DB2CEC"/>
    <w:rsid w:val="00DB3CD6"/>
    <w:rsid w:val="00DB580B"/>
    <w:rsid w:val="00DB74F6"/>
    <w:rsid w:val="00DC1F4D"/>
    <w:rsid w:val="00DC3164"/>
    <w:rsid w:val="00DC38C0"/>
    <w:rsid w:val="00DC40F3"/>
    <w:rsid w:val="00DC4E68"/>
    <w:rsid w:val="00DC6097"/>
    <w:rsid w:val="00DC6A9D"/>
    <w:rsid w:val="00DD39F8"/>
    <w:rsid w:val="00DE0308"/>
    <w:rsid w:val="00DE6267"/>
    <w:rsid w:val="00DE7878"/>
    <w:rsid w:val="00DF3EC0"/>
    <w:rsid w:val="00DF3F21"/>
    <w:rsid w:val="00DF45F6"/>
    <w:rsid w:val="00DF45FC"/>
    <w:rsid w:val="00DF503A"/>
    <w:rsid w:val="00E03D32"/>
    <w:rsid w:val="00E0419F"/>
    <w:rsid w:val="00E053A9"/>
    <w:rsid w:val="00E05A34"/>
    <w:rsid w:val="00E12C74"/>
    <w:rsid w:val="00E178B2"/>
    <w:rsid w:val="00E17EC6"/>
    <w:rsid w:val="00E20706"/>
    <w:rsid w:val="00E230B8"/>
    <w:rsid w:val="00E23192"/>
    <w:rsid w:val="00E24D96"/>
    <w:rsid w:val="00E360F8"/>
    <w:rsid w:val="00E50125"/>
    <w:rsid w:val="00E640A5"/>
    <w:rsid w:val="00E65E82"/>
    <w:rsid w:val="00E71BB7"/>
    <w:rsid w:val="00E76B74"/>
    <w:rsid w:val="00E76CFE"/>
    <w:rsid w:val="00E80D85"/>
    <w:rsid w:val="00E82BC1"/>
    <w:rsid w:val="00E84358"/>
    <w:rsid w:val="00E84D0A"/>
    <w:rsid w:val="00E84DE9"/>
    <w:rsid w:val="00E903E7"/>
    <w:rsid w:val="00EA0AB1"/>
    <w:rsid w:val="00EA2635"/>
    <w:rsid w:val="00EA43DE"/>
    <w:rsid w:val="00EA602F"/>
    <w:rsid w:val="00EA7B4A"/>
    <w:rsid w:val="00EA7DF3"/>
    <w:rsid w:val="00EB1086"/>
    <w:rsid w:val="00EB19F9"/>
    <w:rsid w:val="00EB2076"/>
    <w:rsid w:val="00EC152E"/>
    <w:rsid w:val="00EC240C"/>
    <w:rsid w:val="00EC2E5D"/>
    <w:rsid w:val="00EC4084"/>
    <w:rsid w:val="00EC6C11"/>
    <w:rsid w:val="00ED25C0"/>
    <w:rsid w:val="00ED3F1F"/>
    <w:rsid w:val="00EE0374"/>
    <w:rsid w:val="00EE27B2"/>
    <w:rsid w:val="00EE2E88"/>
    <w:rsid w:val="00EE4F56"/>
    <w:rsid w:val="00EE60F2"/>
    <w:rsid w:val="00EE6F90"/>
    <w:rsid w:val="00EF32BC"/>
    <w:rsid w:val="00F0333B"/>
    <w:rsid w:val="00F046C2"/>
    <w:rsid w:val="00F10CDD"/>
    <w:rsid w:val="00F1374C"/>
    <w:rsid w:val="00F13AD4"/>
    <w:rsid w:val="00F244A9"/>
    <w:rsid w:val="00F25479"/>
    <w:rsid w:val="00F270A5"/>
    <w:rsid w:val="00F320E5"/>
    <w:rsid w:val="00F33D83"/>
    <w:rsid w:val="00F37057"/>
    <w:rsid w:val="00F412AE"/>
    <w:rsid w:val="00F42E7A"/>
    <w:rsid w:val="00F445E9"/>
    <w:rsid w:val="00F47648"/>
    <w:rsid w:val="00F47ECB"/>
    <w:rsid w:val="00F5091E"/>
    <w:rsid w:val="00F54DC6"/>
    <w:rsid w:val="00F607D7"/>
    <w:rsid w:val="00F6593A"/>
    <w:rsid w:val="00F679BB"/>
    <w:rsid w:val="00F7523B"/>
    <w:rsid w:val="00F87D41"/>
    <w:rsid w:val="00F9184D"/>
    <w:rsid w:val="00F92D36"/>
    <w:rsid w:val="00F97947"/>
    <w:rsid w:val="00F97975"/>
    <w:rsid w:val="00FA29AD"/>
    <w:rsid w:val="00FA2AB0"/>
    <w:rsid w:val="00FA3705"/>
    <w:rsid w:val="00FA3F88"/>
    <w:rsid w:val="00FB4871"/>
    <w:rsid w:val="00FB7128"/>
    <w:rsid w:val="00FC60E6"/>
    <w:rsid w:val="00FC7300"/>
    <w:rsid w:val="00FD156F"/>
    <w:rsid w:val="00FF1A07"/>
    <w:rsid w:val="03448817"/>
    <w:rsid w:val="0515C368"/>
    <w:rsid w:val="0542F3BB"/>
    <w:rsid w:val="06F50DB6"/>
    <w:rsid w:val="075196F8"/>
    <w:rsid w:val="07C658F1"/>
    <w:rsid w:val="091DFB8C"/>
    <w:rsid w:val="0A7C8E8E"/>
    <w:rsid w:val="0D32C42B"/>
    <w:rsid w:val="0D33FB3A"/>
    <w:rsid w:val="0DDAACD4"/>
    <w:rsid w:val="0EDDFB89"/>
    <w:rsid w:val="108CE034"/>
    <w:rsid w:val="112867E3"/>
    <w:rsid w:val="171AA6EA"/>
    <w:rsid w:val="1805E4DF"/>
    <w:rsid w:val="193EDBF3"/>
    <w:rsid w:val="1C3C5540"/>
    <w:rsid w:val="1FDA9461"/>
    <w:rsid w:val="220D4FF4"/>
    <w:rsid w:val="2987ADB3"/>
    <w:rsid w:val="2B1D906E"/>
    <w:rsid w:val="2D393618"/>
    <w:rsid w:val="31F04E13"/>
    <w:rsid w:val="33DEF63B"/>
    <w:rsid w:val="34134F72"/>
    <w:rsid w:val="3F2425ED"/>
    <w:rsid w:val="3FC870CB"/>
    <w:rsid w:val="417F162B"/>
    <w:rsid w:val="42204442"/>
    <w:rsid w:val="4301253C"/>
    <w:rsid w:val="43628797"/>
    <w:rsid w:val="45A867B7"/>
    <w:rsid w:val="49E8B425"/>
    <w:rsid w:val="4A21686B"/>
    <w:rsid w:val="4A47764B"/>
    <w:rsid w:val="4B732890"/>
    <w:rsid w:val="4BD7A95C"/>
    <w:rsid w:val="4BF43D19"/>
    <w:rsid w:val="4DAEBEBC"/>
    <w:rsid w:val="4E6FA675"/>
    <w:rsid w:val="4E9A9429"/>
    <w:rsid w:val="50767ADB"/>
    <w:rsid w:val="50E65F7E"/>
    <w:rsid w:val="52822FDF"/>
    <w:rsid w:val="541E0040"/>
    <w:rsid w:val="56710DAF"/>
    <w:rsid w:val="56C570C5"/>
    <w:rsid w:val="57BB30E9"/>
    <w:rsid w:val="5A8D41C4"/>
    <w:rsid w:val="5ED70E6F"/>
    <w:rsid w:val="6021BE5D"/>
    <w:rsid w:val="66533B43"/>
    <w:rsid w:val="6795CD4D"/>
    <w:rsid w:val="68465F62"/>
    <w:rsid w:val="6B60F348"/>
    <w:rsid w:val="6D3ACA2C"/>
    <w:rsid w:val="71C1BC7C"/>
    <w:rsid w:val="730A1D9E"/>
    <w:rsid w:val="73DD6226"/>
    <w:rsid w:val="74494226"/>
    <w:rsid w:val="78CE3169"/>
    <w:rsid w:val="79C9EAF9"/>
    <w:rsid w:val="7E13BA50"/>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D181A0A"/>
  <w15:chartTrackingRefBased/>
  <w15:docId w15:val="{321AAFB2-C670-41E8-9D15-6B5F739945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PMingLiU" w:hAnsi="Times New Roman" w:cs="Times New Roman"/>
        <w:lang w:val="en-AU" w:eastAsia="en-A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1"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1"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73"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720AA"/>
    <w:pPr>
      <w:overflowPunct w:val="0"/>
      <w:autoSpaceDE w:val="0"/>
      <w:autoSpaceDN w:val="0"/>
      <w:adjustRightInd w:val="0"/>
      <w:jc w:val="both"/>
      <w:textAlignment w:val="baseline"/>
    </w:pPr>
    <w:rPr>
      <w:rFonts w:ascii="Arial" w:hAnsi="Arial"/>
      <w:lang w:eastAsia="en-US"/>
    </w:rPr>
  </w:style>
  <w:style w:type="paragraph" w:styleId="Heading1">
    <w:name w:val="heading 1"/>
    <w:basedOn w:val="Normal"/>
    <w:link w:val="Heading1Char"/>
    <w:uiPriority w:val="9"/>
    <w:qFormat/>
    <w:rsid w:val="003B2679"/>
    <w:pPr>
      <w:widowControl w:val="0"/>
      <w:overflowPunct/>
      <w:adjustRightInd/>
      <w:spacing w:before="88"/>
      <w:ind w:left="806" w:hanging="609"/>
      <w:jc w:val="left"/>
      <w:textAlignment w:val="auto"/>
      <w:outlineLvl w:val="0"/>
    </w:pPr>
    <w:rPr>
      <w:rFonts w:eastAsia="Arial" w:cs="Arial"/>
      <w:b/>
      <w:bCs/>
      <w:sz w:val="36"/>
      <w:szCs w:val="36"/>
      <w:lang w:val="en-US"/>
    </w:rPr>
  </w:style>
  <w:style w:type="paragraph" w:styleId="Heading2">
    <w:name w:val="heading 2"/>
    <w:basedOn w:val="Normal"/>
    <w:link w:val="Heading2Char"/>
    <w:uiPriority w:val="9"/>
    <w:unhideWhenUsed/>
    <w:qFormat/>
    <w:rsid w:val="003B2679"/>
    <w:pPr>
      <w:widowControl w:val="0"/>
      <w:overflowPunct/>
      <w:adjustRightInd/>
      <w:spacing w:before="83"/>
      <w:ind w:left="1138"/>
      <w:jc w:val="left"/>
      <w:textAlignment w:val="auto"/>
      <w:outlineLvl w:val="1"/>
    </w:pPr>
    <w:rPr>
      <w:rFonts w:eastAsia="Arial" w:cs="Arial"/>
      <w:b/>
      <w:bCs/>
      <w:sz w:val="32"/>
      <w:szCs w:val="32"/>
      <w:lang w:val="en-US"/>
    </w:rPr>
  </w:style>
  <w:style w:type="paragraph" w:styleId="Heading3">
    <w:name w:val="heading 3"/>
    <w:basedOn w:val="Normal"/>
    <w:next w:val="Normal"/>
    <w:link w:val="Heading3Char"/>
    <w:uiPriority w:val="9"/>
    <w:unhideWhenUsed/>
    <w:qFormat/>
    <w:rsid w:val="00297D9F"/>
    <w:pPr>
      <w:keepNext/>
      <w:keepLines/>
      <w:spacing w:before="40"/>
      <w:outlineLvl w:val="2"/>
    </w:pPr>
    <w:rPr>
      <w:rFonts w:asciiTheme="majorHAnsi" w:eastAsiaTheme="majorEastAsia" w:hAnsiTheme="majorHAnsi" w:cstheme="majorBidi"/>
      <w:color w:val="1F4D78" w:themeColor="accent1" w:themeShade="7F"/>
      <w:szCs w:val="24"/>
    </w:rPr>
  </w:style>
  <w:style w:type="paragraph" w:styleId="Heading4">
    <w:name w:val="heading 4"/>
    <w:basedOn w:val="Normal"/>
    <w:next w:val="Normal"/>
    <w:link w:val="Heading4Char"/>
    <w:uiPriority w:val="9"/>
    <w:qFormat/>
    <w:rsid w:val="00F0333B"/>
    <w:pPr>
      <w:keepNext/>
      <w:spacing w:before="240" w:after="60"/>
      <w:outlineLvl w:val="3"/>
    </w:pPr>
    <w:rPr>
      <w:b/>
      <w:bCs/>
      <w:sz w:val="28"/>
      <w:szCs w:val="28"/>
    </w:rPr>
  </w:style>
  <w:style w:type="paragraph" w:styleId="Heading5">
    <w:name w:val="heading 5"/>
    <w:basedOn w:val="Normal"/>
    <w:link w:val="Heading5Char"/>
    <w:uiPriority w:val="9"/>
    <w:unhideWhenUsed/>
    <w:qFormat/>
    <w:rsid w:val="003B2679"/>
    <w:pPr>
      <w:widowControl w:val="0"/>
      <w:overflowPunct/>
      <w:adjustRightInd/>
      <w:ind w:left="1924" w:hanging="732"/>
      <w:jc w:val="left"/>
      <w:textAlignment w:val="auto"/>
      <w:outlineLvl w:val="4"/>
    </w:pPr>
    <w:rPr>
      <w:rFonts w:ascii="Franklin Gothic Book" w:eastAsia="Franklin Gothic Book" w:hAnsi="Franklin Gothic Book" w:cs="Franklin Gothic Book"/>
      <w:sz w:val="31"/>
      <w:szCs w:val="31"/>
      <w:lang w:val="en-US"/>
    </w:rPr>
  </w:style>
  <w:style w:type="paragraph" w:styleId="Heading6">
    <w:name w:val="heading 6"/>
    <w:basedOn w:val="Normal"/>
    <w:link w:val="Heading6Char"/>
    <w:uiPriority w:val="9"/>
    <w:unhideWhenUsed/>
    <w:qFormat/>
    <w:rsid w:val="003B2679"/>
    <w:pPr>
      <w:widowControl w:val="0"/>
      <w:overflowPunct/>
      <w:adjustRightInd/>
      <w:spacing w:before="8"/>
      <w:ind w:left="1873" w:right="2586"/>
      <w:jc w:val="center"/>
      <w:textAlignment w:val="auto"/>
      <w:outlineLvl w:val="5"/>
    </w:pPr>
    <w:rPr>
      <w:rFonts w:ascii="Franklin Gothic Book" w:eastAsia="Franklin Gothic Book" w:hAnsi="Franklin Gothic Book" w:cs="Franklin Gothic Book"/>
      <w:i/>
      <w:iCs/>
      <w:sz w:val="31"/>
      <w:szCs w:val="31"/>
      <w:lang w:val="en-US"/>
    </w:rPr>
  </w:style>
  <w:style w:type="paragraph" w:styleId="Heading7">
    <w:name w:val="heading 7"/>
    <w:basedOn w:val="Normal"/>
    <w:link w:val="Heading7Char"/>
    <w:uiPriority w:val="1"/>
    <w:qFormat/>
    <w:rsid w:val="003B2679"/>
    <w:pPr>
      <w:widowControl w:val="0"/>
      <w:overflowPunct/>
      <w:adjustRightInd/>
      <w:spacing w:before="89"/>
      <w:ind w:left="120"/>
      <w:jc w:val="left"/>
      <w:textAlignment w:val="auto"/>
      <w:outlineLvl w:val="6"/>
    </w:pPr>
    <w:rPr>
      <w:rFonts w:eastAsia="Arial" w:cs="Arial"/>
      <w:b/>
      <w:bCs/>
      <w:sz w:val="30"/>
      <w:szCs w:val="30"/>
      <w:lang w:val="en-US"/>
    </w:rPr>
  </w:style>
  <w:style w:type="paragraph" w:styleId="Heading8">
    <w:name w:val="heading 8"/>
    <w:basedOn w:val="Normal"/>
    <w:link w:val="Heading8Char"/>
    <w:uiPriority w:val="1"/>
    <w:qFormat/>
    <w:rsid w:val="003B2679"/>
    <w:pPr>
      <w:widowControl w:val="0"/>
      <w:overflowPunct/>
      <w:adjustRightInd/>
      <w:spacing w:before="238"/>
      <w:ind w:left="665"/>
      <w:jc w:val="left"/>
      <w:textAlignment w:val="auto"/>
      <w:outlineLvl w:val="7"/>
    </w:pPr>
    <w:rPr>
      <w:rFonts w:eastAsia="Arial" w:cs="Arial"/>
      <w:b/>
      <w:bCs/>
      <w:sz w:val="28"/>
      <w:szCs w:val="28"/>
      <w:lang w:val="en-US"/>
    </w:rPr>
  </w:style>
  <w:style w:type="paragraph" w:styleId="Heading9">
    <w:name w:val="heading 9"/>
    <w:basedOn w:val="Normal"/>
    <w:link w:val="Heading9Char"/>
    <w:uiPriority w:val="1"/>
    <w:qFormat/>
    <w:rsid w:val="003B2679"/>
    <w:pPr>
      <w:widowControl w:val="0"/>
      <w:overflowPunct/>
      <w:adjustRightInd/>
      <w:ind w:left="489"/>
      <w:jc w:val="left"/>
      <w:textAlignment w:val="auto"/>
      <w:outlineLvl w:val="8"/>
    </w:pPr>
    <w:rPr>
      <w:rFonts w:ascii="Calibri" w:eastAsia="Calibri" w:hAnsi="Calibri" w:cs="Calibri"/>
      <w:b/>
      <w:bCs/>
      <w:sz w:val="24"/>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6E00FE"/>
    <w:pPr>
      <w:tabs>
        <w:tab w:val="center" w:pos="4153"/>
        <w:tab w:val="right" w:pos="8306"/>
      </w:tabs>
    </w:pPr>
  </w:style>
  <w:style w:type="paragraph" w:styleId="Footer">
    <w:name w:val="footer"/>
    <w:basedOn w:val="Normal"/>
    <w:link w:val="FooterChar"/>
    <w:uiPriority w:val="99"/>
    <w:rsid w:val="006E00FE"/>
    <w:pPr>
      <w:tabs>
        <w:tab w:val="center" w:pos="4153"/>
        <w:tab w:val="right" w:pos="8306"/>
      </w:tabs>
    </w:pPr>
  </w:style>
  <w:style w:type="table" w:styleId="TableGrid">
    <w:name w:val="Table Grid"/>
    <w:basedOn w:val="TableNormal"/>
    <w:rsid w:val="00FA29A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ataSheetText">
    <w:name w:val="Data Sheet Text"/>
    <w:basedOn w:val="Normal"/>
    <w:link w:val="DataSheetTextChar"/>
    <w:rsid w:val="00F0333B"/>
    <w:pPr>
      <w:overflowPunct/>
      <w:autoSpaceDE/>
      <w:autoSpaceDN/>
      <w:adjustRightInd/>
      <w:spacing w:line="240" w:lineRule="exact"/>
      <w:jc w:val="left"/>
      <w:textAlignment w:val="auto"/>
    </w:pPr>
    <w:rPr>
      <w:rFonts w:ascii="Verdana" w:hAnsi="Verdana"/>
      <w:sz w:val="18"/>
      <w:lang w:val="en-US"/>
    </w:rPr>
  </w:style>
  <w:style w:type="character" w:customStyle="1" w:styleId="DataSheetTextChar">
    <w:name w:val="Data Sheet Text Char"/>
    <w:link w:val="DataSheetText"/>
    <w:rsid w:val="00F0333B"/>
    <w:rPr>
      <w:rFonts w:ascii="Verdana" w:hAnsi="Verdana"/>
      <w:sz w:val="18"/>
      <w:lang w:val="en-US" w:eastAsia="en-US" w:bidi="ar-SA"/>
    </w:rPr>
  </w:style>
  <w:style w:type="paragraph" w:customStyle="1" w:styleId="DataSheetTextBold">
    <w:name w:val="Data Sheet Text Bold"/>
    <w:basedOn w:val="DataSheetText"/>
    <w:rsid w:val="00F0333B"/>
    <w:rPr>
      <w:b/>
      <w:szCs w:val="18"/>
    </w:rPr>
  </w:style>
  <w:style w:type="paragraph" w:customStyle="1" w:styleId="DataSheetItalics">
    <w:name w:val="Data Sheet Italics"/>
    <w:basedOn w:val="DataSheetText"/>
    <w:link w:val="DataSheetItalicsChar"/>
    <w:rsid w:val="00F0333B"/>
    <w:rPr>
      <w:i/>
      <w:iCs/>
    </w:rPr>
  </w:style>
  <w:style w:type="character" w:customStyle="1" w:styleId="DataSheetItalicsChar">
    <w:name w:val="Data Sheet Italics Char"/>
    <w:link w:val="DataSheetItalics"/>
    <w:rsid w:val="00F0333B"/>
    <w:rPr>
      <w:rFonts w:ascii="Verdana" w:hAnsi="Verdana"/>
      <w:i/>
      <w:iCs/>
      <w:sz w:val="18"/>
      <w:lang w:val="en-US" w:eastAsia="en-US" w:bidi="ar-SA"/>
    </w:rPr>
  </w:style>
  <w:style w:type="paragraph" w:customStyle="1" w:styleId="DataSheetHeadings">
    <w:name w:val="Data Sheet Headings"/>
    <w:basedOn w:val="Heading4"/>
    <w:rsid w:val="00F0333B"/>
    <w:pPr>
      <w:overflowPunct/>
      <w:autoSpaceDE/>
      <w:autoSpaceDN/>
      <w:adjustRightInd/>
      <w:spacing w:before="120" w:after="80" w:line="260" w:lineRule="exact"/>
      <w:ind w:left="822" w:hanging="822"/>
      <w:jc w:val="left"/>
      <w:textAlignment w:val="auto"/>
    </w:pPr>
    <w:rPr>
      <w:rFonts w:ascii="Verdana" w:hAnsi="Verdana"/>
      <w:sz w:val="18"/>
      <w:szCs w:val="20"/>
      <w:lang w:val="en-US"/>
    </w:rPr>
  </w:style>
  <w:style w:type="character" w:styleId="PageNumber">
    <w:name w:val="page number"/>
    <w:basedOn w:val="DefaultParagraphFont"/>
    <w:rsid w:val="00F0333B"/>
  </w:style>
  <w:style w:type="character" w:customStyle="1" w:styleId="FooterChar">
    <w:name w:val="Footer Char"/>
    <w:link w:val="Footer"/>
    <w:uiPriority w:val="99"/>
    <w:rsid w:val="00856004"/>
    <w:rPr>
      <w:sz w:val="24"/>
      <w:lang w:eastAsia="en-US"/>
    </w:rPr>
  </w:style>
  <w:style w:type="paragraph" w:styleId="Caption">
    <w:name w:val="caption"/>
    <w:aliases w:val="Caption for photos,figures &amp; diagrams"/>
    <w:basedOn w:val="Normal"/>
    <w:next w:val="Normal"/>
    <w:uiPriority w:val="35"/>
    <w:qFormat/>
    <w:rsid w:val="00E0419F"/>
    <w:pPr>
      <w:overflowPunct/>
      <w:autoSpaceDE/>
      <w:autoSpaceDN/>
      <w:adjustRightInd/>
      <w:spacing w:after="120"/>
      <w:ind w:left="1134"/>
      <w:jc w:val="left"/>
      <w:textAlignment w:val="auto"/>
    </w:pPr>
    <w:rPr>
      <w:rFonts w:ascii="Garamond" w:hAnsi="Garamond" w:cs="Arial"/>
      <w:i/>
      <w:szCs w:val="22"/>
      <w:lang w:eastAsia="en-AU"/>
    </w:rPr>
  </w:style>
  <w:style w:type="character" w:styleId="CommentReference">
    <w:name w:val="annotation reference"/>
    <w:uiPriority w:val="99"/>
    <w:semiHidden/>
    <w:unhideWhenUsed/>
    <w:rsid w:val="00A87ACF"/>
    <w:rPr>
      <w:sz w:val="16"/>
      <w:szCs w:val="16"/>
    </w:rPr>
  </w:style>
  <w:style w:type="paragraph" w:styleId="CommentText">
    <w:name w:val="annotation text"/>
    <w:basedOn w:val="Normal"/>
    <w:link w:val="CommentTextChar"/>
    <w:uiPriority w:val="99"/>
    <w:semiHidden/>
    <w:unhideWhenUsed/>
    <w:rsid w:val="00A87ACF"/>
  </w:style>
  <w:style w:type="character" w:customStyle="1" w:styleId="CommentTextChar">
    <w:name w:val="Comment Text Char"/>
    <w:link w:val="CommentText"/>
    <w:uiPriority w:val="99"/>
    <w:semiHidden/>
    <w:rsid w:val="00A87ACF"/>
    <w:rPr>
      <w:lang w:val="en-AU"/>
    </w:rPr>
  </w:style>
  <w:style w:type="paragraph" w:styleId="CommentSubject">
    <w:name w:val="annotation subject"/>
    <w:basedOn w:val="CommentText"/>
    <w:next w:val="CommentText"/>
    <w:link w:val="CommentSubjectChar"/>
    <w:uiPriority w:val="99"/>
    <w:semiHidden/>
    <w:unhideWhenUsed/>
    <w:rsid w:val="00A87ACF"/>
    <w:rPr>
      <w:b/>
      <w:bCs/>
    </w:rPr>
  </w:style>
  <w:style w:type="character" w:customStyle="1" w:styleId="CommentSubjectChar">
    <w:name w:val="Comment Subject Char"/>
    <w:link w:val="CommentSubject"/>
    <w:uiPriority w:val="99"/>
    <w:semiHidden/>
    <w:rsid w:val="00A87ACF"/>
    <w:rPr>
      <w:b/>
      <w:bCs/>
      <w:lang w:val="en-AU"/>
    </w:rPr>
  </w:style>
  <w:style w:type="paragraph" w:styleId="BalloonText">
    <w:name w:val="Balloon Text"/>
    <w:basedOn w:val="Normal"/>
    <w:link w:val="BalloonTextChar"/>
    <w:uiPriority w:val="99"/>
    <w:semiHidden/>
    <w:unhideWhenUsed/>
    <w:rsid w:val="00A87ACF"/>
    <w:rPr>
      <w:rFonts w:ascii="Segoe UI" w:hAnsi="Segoe UI" w:cs="Segoe UI"/>
      <w:sz w:val="18"/>
      <w:szCs w:val="18"/>
    </w:rPr>
  </w:style>
  <w:style w:type="character" w:customStyle="1" w:styleId="BalloonTextChar">
    <w:name w:val="Balloon Text Char"/>
    <w:link w:val="BalloonText"/>
    <w:uiPriority w:val="99"/>
    <w:semiHidden/>
    <w:rsid w:val="00A87ACF"/>
    <w:rPr>
      <w:rFonts w:ascii="Segoe UI" w:hAnsi="Segoe UI" w:cs="Segoe UI"/>
      <w:sz w:val="18"/>
      <w:szCs w:val="18"/>
      <w:lang w:val="en-AU"/>
    </w:rPr>
  </w:style>
  <w:style w:type="paragraph" w:customStyle="1" w:styleId="Default">
    <w:name w:val="Default"/>
    <w:rsid w:val="0034382D"/>
    <w:pPr>
      <w:autoSpaceDE w:val="0"/>
      <w:autoSpaceDN w:val="0"/>
      <w:adjustRightInd w:val="0"/>
    </w:pPr>
    <w:rPr>
      <w:rFonts w:ascii="Arial" w:hAnsi="Arial" w:cs="Arial"/>
      <w:color w:val="000000"/>
      <w:sz w:val="24"/>
      <w:szCs w:val="24"/>
      <w:lang w:val="en-US"/>
    </w:rPr>
  </w:style>
  <w:style w:type="paragraph" w:styleId="FootnoteText">
    <w:name w:val="footnote text"/>
    <w:basedOn w:val="Normal"/>
    <w:link w:val="FootnoteTextChar"/>
    <w:uiPriority w:val="99"/>
    <w:semiHidden/>
    <w:unhideWhenUsed/>
    <w:rsid w:val="00F445E9"/>
  </w:style>
  <w:style w:type="character" w:customStyle="1" w:styleId="FootnoteTextChar">
    <w:name w:val="Footnote Text Char"/>
    <w:basedOn w:val="DefaultParagraphFont"/>
    <w:link w:val="FootnoteText"/>
    <w:uiPriority w:val="99"/>
    <w:semiHidden/>
    <w:rsid w:val="00F445E9"/>
    <w:rPr>
      <w:lang w:eastAsia="en-US"/>
    </w:rPr>
  </w:style>
  <w:style w:type="character" w:styleId="FootnoteReference">
    <w:name w:val="footnote reference"/>
    <w:basedOn w:val="DefaultParagraphFont"/>
    <w:uiPriority w:val="99"/>
    <w:semiHidden/>
    <w:unhideWhenUsed/>
    <w:rsid w:val="00F445E9"/>
    <w:rPr>
      <w:vertAlign w:val="superscript"/>
    </w:rPr>
  </w:style>
  <w:style w:type="character" w:customStyle="1" w:styleId="Heading3Char">
    <w:name w:val="Heading 3 Char"/>
    <w:basedOn w:val="DefaultParagraphFont"/>
    <w:link w:val="Heading3"/>
    <w:uiPriority w:val="9"/>
    <w:rsid w:val="00297D9F"/>
    <w:rPr>
      <w:rFonts w:asciiTheme="majorHAnsi" w:eastAsiaTheme="majorEastAsia" w:hAnsiTheme="majorHAnsi" w:cstheme="majorBidi"/>
      <w:color w:val="1F4D78" w:themeColor="accent1" w:themeShade="7F"/>
      <w:sz w:val="24"/>
      <w:szCs w:val="24"/>
      <w:lang w:eastAsia="en-US"/>
    </w:rPr>
  </w:style>
  <w:style w:type="character" w:styleId="Hyperlink">
    <w:name w:val="Hyperlink"/>
    <w:basedOn w:val="DefaultParagraphFont"/>
    <w:uiPriority w:val="99"/>
    <w:unhideWhenUsed/>
    <w:rsid w:val="00297D9F"/>
    <w:rPr>
      <w:color w:val="0000FF"/>
      <w:u w:val="single"/>
    </w:rPr>
  </w:style>
  <w:style w:type="character" w:customStyle="1" w:styleId="apple-converted-space">
    <w:name w:val="apple-converted-space"/>
    <w:basedOn w:val="DefaultParagraphFont"/>
    <w:rsid w:val="00297D9F"/>
  </w:style>
  <w:style w:type="character" w:customStyle="1" w:styleId="style-scope">
    <w:name w:val="style-scope"/>
    <w:basedOn w:val="DefaultParagraphFont"/>
    <w:rsid w:val="00297D9F"/>
  </w:style>
  <w:style w:type="paragraph" w:styleId="NormalWeb">
    <w:name w:val="Normal (Web)"/>
    <w:basedOn w:val="Normal"/>
    <w:uiPriority w:val="99"/>
    <w:semiHidden/>
    <w:unhideWhenUsed/>
    <w:rsid w:val="00297D9F"/>
    <w:pPr>
      <w:overflowPunct/>
      <w:autoSpaceDE/>
      <w:autoSpaceDN/>
      <w:adjustRightInd/>
      <w:spacing w:before="100" w:beforeAutospacing="1" w:after="100" w:afterAutospacing="1"/>
      <w:jc w:val="left"/>
      <w:textAlignment w:val="auto"/>
    </w:pPr>
    <w:rPr>
      <w:szCs w:val="24"/>
      <w:lang w:val="en-US"/>
    </w:rPr>
  </w:style>
  <w:style w:type="paragraph" w:styleId="Quote">
    <w:name w:val="Quote"/>
    <w:basedOn w:val="Normal"/>
    <w:next w:val="Normal"/>
    <w:link w:val="QuoteChar"/>
    <w:autoRedefine/>
    <w:uiPriority w:val="73"/>
    <w:qFormat/>
    <w:rsid w:val="001D272A"/>
    <w:pPr>
      <w:ind w:left="720"/>
    </w:pPr>
    <w:rPr>
      <w:i/>
      <w:iCs/>
      <w:color w:val="000000" w:themeColor="text1"/>
      <w:sz w:val="21"/>
    </w:rPr>
  </w:style>
  <w:style w:type="character" w:customStyle="1" w:styleId="QuoteChar">
    <w:name w:val="Quote Char"/>
    <w:basedOn w:val="DefaultParagraphFont"/>
    <w:link w:val="Quote"/>
    <w:uiPriority w:val="73"/>
    <w:rsid w:val="001D272A"/>
    <w:rPr>
      <w:rFonts w:ascii="Arial" w:hAnsi="Arial"/>
      <w:i/>
      <w:iCs/>
      <w:color w:val="000000" w:themeColor="text1"/>
      <w:sz w:val="21"/>
      <w:lang w:eastAsia="en-US"/>
    </w:rPr>
  </w:style>
  <w:style w:type="character" w:customStyle="1" w:styleId="UnresolvedMention">
    <w:name w:val="Unresolved Mention"/>
    <w:basedOn w:val="DefaultParagraphFont"/>
    <w:uiPriority w:val="99"/>
    <w:semiHidden/>
    <w:unhideWhenUsed/>
    <w:rsid w:val="00901985"/>
    <w:rPr>
      <w:color w:val="808080"/>
      <w:shd w:val="clear" w:color="auto" w:fill="E6E6E6"/>
    </w:rPr>
  </w:style>
  <w:style w:type="character" w:customStyle="1" w:styleId="Heading1Char">
    <w:name w:val="Heading 1 Char"/>
    <w:basedOn w:val="DefaultParagraphFont"/>
    <w:link w:val="Heading1"/>
    <w:uiPriority w:val="9"/>
    <w:rsid w:val="003B2679"/>
    <w:rPr>
      <w:rFonts w:ascii="Arial" w:eastAsia="Arial" w:hAnsi="Arial" w:cs="Arial"/>
      <w:b/>
      <w:bCs/>
      <w:sz w:val="36"/>
      <w:szCs w:val="36"/>
      <w:lang w:val="en-US" w:eastAsia="en-US"/>
    </w:rPr>
  </w:style>
  <w:style w:type="character" w:customStyle="1" w:styleId="Heading2Char">
    <w:name w:val="Heading 2 Char"/>
    <w:basedOn w:val="DefaultParagraphFont"/>
    <w:link w:val="Heading2"/>
    <w:uiPriority w:val="9"/>
    <w:rsid w:val="003B2679"/>
    <w:rPr>
      <w:rFonts w:ascii="Arial" w:eastAsia="Arial" w:hAnsi="Arial" w:cs="Arial"/>
      <w:b/>
      <w:bCs/>
      <w:sz w:val="32"/>
      <w:szCs w:val="32"/>
      <w:lang w:val="en-US" w:eastAsia="en-US"/>
    </w:rPr>
  </w:style>
  <w:style w:type="character" w:customStyle="1" w:styleId="Heading5Char">
    <w:name w:val="Heading 5 Char"/>
    <w:basedOn w:val="DefaultParagraphFont"/>
    <w:link w:val="Heading5"/>
    <w:uiPriority w:val="9"/>
    <w:rsid w:val="003B2679"/>
    <w:rPr>
      <w:rFonts w:ascii="Franklin Gothic Book" w:eastAsia="Franklin Gothic Book" w:hAnsi="Franklin Gothic Book" w:cs="Franklin Gothic Book"/>
      <w:sz w:val="31"/>
      <w:szCs w:val="31"/>
      <w:lang w:val="en-US" w:eastAsia="en-US"/>
    </w:rPr>
  </w:style>
  <w:style w:type="character" w:customStyle="1" w:styleId="Heading6Char">
    <w:name w:val="Heading 6 Char"/>
    <w:basedOn w:val="DefaultParagraphFont"/>
    <w:link w:val="Heading6"/>
    <w:uiPriority w:val="9"/>
    <w:rsid w:val="003B2679"/>
    <w:rPr>
      <w:rFonts w:ascii="Franklin Gothic Book" w:eastAsia="Franklin Gothic Book" w:hAnsi="Franklin Gothic Book" w:cs="Franklin Gothic Book"/>
      <w:i/>
      <w:iCs/>
      <w:sz w:val="31"/>
      <w:szCs w:val="31"/>
      <w:lang w:val="en-US" w:eastAsia="en-US"/>
    </w:rPr>
  </w:style>
  <w:style w:type="character" w:customStyle="1" w:styleId="Heading7Char">
    <w:name w:val="Heading 7 Char"/>
    <w:basedOn w:val="DefaultParagraphFont"/>
    <w:link w:val="Heading7"/>
    <w:uiPriority w:val="1"/>
    <w:rsid w:val="003B2679"/>
    <w:rPr>
      <w:rFonts w:ascii="Arial" w:eastAsia="Arial" w:hAnsi="Arial" w:cs="Arial"/>
      <w:b/>
      <w:bCs/>
      <w:sz w:val="30"/>
      <w:szCs w:val="30"/>
      <w:lang w:val="en-US" w:eastAsia="en-US"/>
    </w:rPr>
  </w:style>
  <w:style w:type="character" w:customStyle="1" w:styleId="Heading8Char">
    <w:name w:val="Heading 8 Char"/>
    <w:basedOn w:val="DefaultParagraphFont"/>
    <w:link w:val="Heading8"/>
    <w:uiPriority w:val="1"/>
    <w:rsid w:val="003B2679"/>
    <w:rPr>
      <w:rFonts w:ascii="Arial" w:eastAsia="Arial" w:hAnsi="Arial" w:cs="Arial"/>
      <w:b/>
      <w:bCs/>
      <w:sz w:val="28"/>
      <w:szCs w:val="28"/>
      <w:lang w:val="en-US" w:eastAsia="en-US"/>
    </w:rPr>
  </w:style>
  <w:style w:type="character" w:customStyle="1" w:styleId="Heading9Char">
    <w:name w:val="Heading 9 Char"/>
    <w:basedOn w:val="DefaultParagraphFont"/>
    <w:link w:val="Heading9"/>
    <w:uiPriority w:val="1"/>
    <w:rsid w:val="003B2679"/>
    <w:rPr>
      <w:rFonts w:ascii="Calibri" w:eastAsia="Calibri" w:hAnsi="Calibri" w:cs="Calibri"/>
      <w:b/>
      <w:bCs/>
      <w:sz w:val="24"/>
      <w:szCs w:val="24"/>
      <w:lang w:val="en-US" w:eastAsia="en-US"/>
    </w:rPr>
  </w:style>
  <w:style w:type="character" w:customStyle="1" w:styleId="Heading4Char">
    <w:name w:val="Heading 4 Char"/>
    <w:basedOn w:val="DefaultParagraphFont"/>
    <w:link w:val="Heading4"/>
    <w:uiPriority w:val="9"/>
    <w:rsid w:val="003B2679"/>
    <w:rPr>
      <w:rFonts w:ascii="Arial" w:hAnsi="Arial"/>
      <w:b/>
      <w:bCs/>
      <w:sz w:val="28"/>
      <w:szCs w:val="28"/>
      <w:lang w:eastAsia="en-US"/>
    </w:rPr>
  </w:style>
  <w:style w:type="paragraph" w:styleId="TOC1">
    <w:name w:val="toc 1"/>
    <w:basedOn w:val="Normal"/>
    <w:uiPriority w:val="1"/>
    <w:qFormat/>
    <w:rsid w:val="003B2679"/>
    <w:pPr>
      <w:widowControl w:val="0"/>
      <w:overflowPunct/>
      <w:adjustRightInd/>
      <w:spacing w:before="219" w:line="281" w:lineRule="exact"/>
      <w:ind w:left="665"/>
      <w:jc w:val="left"/>
      <w:textAlignment w:val="auto"/>
    </w:pPr>
    <w:rPr>
      <w:rFonts w:eastAsia="Arial" w:cs="Arial"/>
      <w:b/>
      <w:bCs/>
      <w:sz w:val="24"/>
      <w:szCs w:val="24"/>
      <w:lang w:val="en-US"/>
    </w:rPr>
  </w:style>
  <w:style w:type="paragraph" w:styleId="TOC2">
    <w:name w:val="toc 2"/>
    <w:basedOn w:val="Normal"/>
    <w:uiPriority w:val="1"/>
    <w:qFormat/>
    <w:rsid w:val="003B2679"/>
    <w:pPr>
      <w:widowControl w:val="0"/>
      <w:overflowPunct/>
      <w:adjustRightInd/>
      <w:spacing w:line="257" w:lineRule="exact"/>
      <w:ind w:left="948"/>
      <w:jc w:val="left"/>
      <w:textAlignment w:val="auto"/>
    </w:pPr>
    <w:rPr>
      <w:rFonts w:eastAsia="Arial" w:cs="Arial"/>
      <w:b/>
      <w:bCs/>
      <w:sz w:val="22"/>
      <w:szCs w:val="22"/>
      <w:lang w:val="en-US"/>
    </w:rPr>
  </w:style>
  <w:style w:type="paragraph" w:styleId="BodyText">
    <w:name w:val="Body Text"/>
    <w:basedOn w:val="Normal"/>
    <w:link w:val="BodyTextChar"/>
    <w:uiPriority w:val="1"/>
    <w:qFormat/>
    <w:rsid w:val="003B2679"/>
    <w:pPr>
      <w:widowControl w:val="0"/>
      <w:overflowPunct/>
      <w:adjustRightInd/>
      <w:jc w:val="left"/>
      <w:textAlignment w:val="auto"/>
    </w:pPr>
    <w:rPr>
      <w:rFonts w:eastAsia="Arial" w:cs="Arial"/>
      <w:lang w:val="en-US"/>
    </w:rPr>
  </w:style>
  <w:style w:type="character" w:customStyle="1" w:styleId="BodyTextChar">
    <w:name w:val="Body Text Char"/>
    <w:basedOn w:val="DefaultParagraphFont"/>
    <w:link w:val="BodyText"/>
    <w:uiPriority w:val="1"/>
    <w:rsid w:val="003B2679"/>
    <w:rPr>
      <w:rFonts w:ascii="Arial" w:eastAsia="Arial" w:hAnsi="Arial" w:cs="Arial"/>
      <w:lang w:val="en-US" w:eastAsia="en-US"/>
    </w:rPr>
  </w:style>
  <w:style w:type="paragraph" w:styleId="ListParagraph">
    <w:name w:val="List Paragraph"/>
    <w:basedOn w:val="Normal"/>
    <w:uiPriority w:val="1"/>
    <w:qFormat/>
    <w:rsid w:val="003B2679"/>
    <w:pPr>
      <w:widowControl w:val="0"/>
      <w:overflowPunct/>
      <w:adjustRightInd/>
      <w:ind w:left="1610" w:hanging="361"/>
      <w:jc w:val="left"/>
      <w:textAlignment w:val="auto"/>
    </w:pPr>
    <w:rPr>
      <w:rFonts w:eastAsia="Arial" w:cs="Arial"/>
      <w:sz w:val="22"/>
      <w:szCs w:val="22"/>
      <w:lang w:val="en-US"/>
    </w:rPr>
  </w:style>
  <w:style w:type="paragraph" w:customStyle="1" w:styleId="TableParagraph">
    <w:name w:val="Table Paragraph"/>
    <w:basedOn w:val="Normal"/>
    <w:uiPriority w:val="1"/>
    <w:qFormat/>
    <w:rsid w:val="003B2679"/>
    <w:pPr>
      <w:widowControl w:val="0"/>
      <w:overflowPunct/>
      <w:adjustRightInd/>
      <w:jc w:val="left"/>
      <w:textAlignment w:val="auto"/>
    </w:pPr>
    <w:rPr>
      <w:rFonts w:eastAsia="Arial" w:cs="Arial"/>
      <w:sz w:val="22"/>
      <w:szCs w:val="22"/>
      <w:lang w:val="en-US"/>
    </w:rPr>
  </w:style>
  <w:style w:type="paragraph" w:customStyle="1" w:styleId="paragraph">
    <w:name w:val="paragraph"/>
    <w:basedOn w:val="Normal"/>
    <w:rsid w:val="00592149"/>
    <w:pPr>
      <w:overflowPunct/>
      <w:autoSpaceDE/>
      <w:autoSpaceDN/>
      <w:adjustRightInd/>
      <w:spacing w:before="100" w:beforeAutospacing="1" w:after="100" w:afterAutospacing="1"/>
      <w:jc w:val="left"/>
      <w:textAlignment w:val="auto"/>
    </w:pPr>
    <w:rPr>
      <w:rFonts w:ascii="Times New Roman" w:eastAsia="Times New Roman" w:hAnsi="Times New Roman"/>
      <w:sz w:val="24"/>
      <w:szCs w:val="24"/>
      <w:lang w:val="en-GB" w:eastAsia="zh-TW"/>
    </w:rPr>
  </w:style>
  <w:style w:type="character" w:customStyle="1" w:styleId="normaltextrun">
    <w:name w:val="normaltextrun"/>
    <w:basedOn w:val="DefaultParagraphFont"/>
    <w:rsid w:val="00592149"/>
  </w:style>
  <w:style w:type="character" w:customStyle="1" w:styleId="eop">
    <w:name w:val="eop"/>
    <w:basedOn w:val="DefaultParagraphFont"/>
    <w:rsid w:val="00592149"/>
  </w:style>
  <w:style w:type="paragraph" w:customStyle="1" w:styleId="xmsonormal">
    <w:name w:val="x_msonormal"/>
    <w:basedOn w:val="Normal"/>
    <w:rsid w:val="001464A4"/>
    <w:pPr>
      <w:overflowPunct/>
      <w:autoSpaceDE/>
      <w:autoSpaceDN/>
      <w:adjustRightInd/>
      <w:jc w:val="left"/>
      <w:textAlignment w:val="auto"/>
    </w:pPr>
    <w:rPr>
      <w:rFonts w:ascii="Calibri" w:eastAsiaTheme="minorEastAsia" w:hAnsi="Calibri" w:cs="Calibri"/>
      <w:sz w:val="22"/>
      <w:szCs w:val="22"/>
      <w:lang w:val="en-GB" w:eastAsia="zh-TW"/>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7847395">
      <w:bodyDiv w:val="1"/>
      <w:marLeft w:val="0"/>
      <w:marRight w:val="0"/>
      <w:marTop w:val="0"/>
      <w:marBottom w:val="0"/>
      <w:divBdr>
        <w:top w:val="none" w:sz="0" w:space="0" w:color="auto"/>
        <w:left w:val="none" w:sz="0" w:space="0" w:color="auto"/>
        <w:bottom w:val="none" w:sz="0" w:space="0" w:color="auto"/>
        <w:right w:val="none" w:sz="0" w:space="0" w:color="auto"/>
      </w:divBdr>
      <w:divsChild>
        <w:div w:id="872888114">
          <w:marLeft w:val="0"/>
          <w:marRight w:val="0"/>
          <w:marTop w:val="0"/>
          <w:marBottom w:val="0"/>
          <w:divBdr>
            <w:top w:val="none" w:sz="0" w:space="0" w:color="auto"/>
            <w:left w:val="none" w:sz="0" w:space="0" w:color="auto"/>
            <w:bottom w:val="none" w:sz="0" w:space="0" w:color="auto"/>
            <w:right w:val="none" w:sz="0" w:space="0" w:color="auto"/>
          </w:divBdr>
        </w:div>
        <w:div w:id="288587113">
          <w:marLeft w:val="0"/>
          <w:marRight w:val="0"/>
          <w:marTop w:val="0"/>
          <w:marBottom w:val="0"/>
          <w:divBdr>
            <w:top w:val="none" w:sz="0" w:space="0" w:color="auto"/>
            <w:left w:val="none" w:sz="0" w:space="0" w:color="auto"/>
            <w:bottom w:val="none" w:sz="0" w:space="0" w:color="auto"/>
            <w:right w:val="none" w:sz="0" w:space="0" w:color="auto"/>
          </w:divBdr>
        </w:div>
        <w:div w:id="1205021022">
          <w:marLeft w:val="0"/>
          <w:marRight w:val="0"/>
          <w:marTop w:val="0"/>
          <w:marBottom w:val="0"/>
          <w:divBdr>
            <w:top w:val="none" w:sz="0" w:space="0" w:color="auto"/>
            <w:left w:val="none" w:sz="0" w:space="0" w:color="auto"/>
            <w:bottom w:val="none" w:sz="0" w:space="0" w:color="auto"/>
            <w:right w:val="none" w:sz="0" w:space="0" w:color="auto"/>
          </w:divBdr>
        </w:div>
        <w:div w:id="192305258">
          <w:marLeft w:val="0"/>
          <w:marRight w:val="0"/>
          <w:marTop w:val="0"/>
          <w:marBottom w:val="0"/>
          <w:divBdr>
            <w:top w:val="none" w:sz="0" w:space="0" w:color="auto"/>
            <w:left w:val="none" w:sz="0" w:space="0" w:color="auto"/>
            <w:bottom w:val="none" w:sz="0" w:space="0" w:color="auto"/>
            <w:right w:val="none" w:sz="0" w:space="0" w:color="auto"/>
          </w:divBdr>
        </w:div>
        <w:div w:id="1844736516">
          <w:marLeft w:val="0"/>
          <w:marRight w:val="0"/>
          <w:marTop w:val="0"/>
          <w:marBottom w:val="0"/>
          <w:divBdr>
            <w:top w:val="none" w:sz="0" w:space="0" w:color="auto"/>
            <w:left w:val="none" w:sz="0" w:space="0" w:color="auto"/>
            <w:bottom w:val="none" w:sz="0" w:space="0" w:color="auto"/>
            <w:right w:val="none" w:sz="0" w:space="0" w:color="auto"/>
          </w:divBdr>
        </w:div>
        <w:div w:id="487019843">
          <w:marLeft w:val="0"/>
          <w:marRight w:val="0"/>
          <w:marTop w:val="0"/>
          <w:marBottom w:val="0"/>
          <w:divBdr>
            <w:top w:val="none" w:sz="0" w:space="0" w:color="auto"/>
            <w:left w:val="none" w:sz="0" w:space="0" w:color="auto"/>
            <w:bottom w:val="none" w:sz="0" w:space="0" w:color="auto"/>
            <w:right w:val="none" w:sz="0" w:space="0" w:color="auto"/>
          </w:divBdr>
        </w:div>
        <w:div w:id="36205962">
          <w:marLeft w:val="0"/>
          <w:marRight w:val="0"/>
          <w:marTop w:val="0"/>
          <w:marBottom w:val="0"/>
          <w:divBdr>
            <w:top w:val="none" w:sz="0" w:space="0" w:color="auto"/>
            <w:left w:val="none" w:sz="0" w:space="0" w:color="auto"/>
            <w:bottom w:val="none" w:sz="0" w:space="0" w:color="auto"/>
            <w:right w:val="none" w:sz="0" w:space="0" w:color="auto"/>
          </w:divBdr>
        </w:div>
        <w:div w:id="1687976393">
          <w:marLeft w:val="0"/>
          <w:marRight w:val="0"/>
          <w:marTop w:val="0"/>
          <w:marBottom w:val="0"/>
          <w:divBdr>
            <w:top w:val="none" w:sz="0" w:space="0" w:color="auto"/>
            <w:left w:val="none" w:sz="0" w:space="0" w:color="auto"/>
            <w:bottom w:val="none" w:sz="0" w:space="0" w:color="auto"/>
            <w:right w:val="none" w:sz="0" w:space="0" w:color="auto"/>
          </w:divBdr>
        </w:div>
        <w:div w:id="1322074915">
          <w:marLeft w:val="0"/>
          <w:marRight w:val="0"/>
          <w:marTop w:val="0"/>
          <w:marBottom w:val="0"/>
          <w:divBdr>
            <w:top w:val="none" w:sz="0" w:space="0" w:color="auto"/>
            <w:left w:val="none" w:sz="0" w:space="0" w:color="auto"/>
            <w:bottom w:val="none" w:sz="0" w:space="0" w:color="auto"/>
            <w:right w:val="none" w:sz="0" w:space="0" w:color="auto"/>
          </w:divBdr>
        </w:div>
        <w:div w:id="706223743">
          <w:marLeft w:val="0"/>
          <w:marRight w:val="0"/>
          <w:marTop w:val="0"/>
          <w:marBottom w:val="0"/>
          <w:divBdr>
            <w:top w:val="none" w:sz="0" w:space="0" w:color="auto"/>
            <w:left w:val="none" w:sz="0" w:space="0" w:color="auto"/>
            <w:bottom w:val="none" w:sz="0" w:space="0" w:color="auto"/>
            <w:right w:val="none" w:sz="0" w:space="0" w:color="auto"/>
          </w:divBdr>
        </w:div>
        <w:div w:id="93331201">
          <w:marLeft w:val="0"/>
          <w:marRight w:val="0"/>
          <w:marTop w:val="0"/>
          <w:marBottom w:val="0"/>
          <w:divBdr>
            <w:top w:val="none" w:sz="0" w:space="0" w:color="auto"/>
            <w:left w:val="none" w:sz="0" w:space="0" w:color="auto"/>
            <w:bottom w:val="none" w:sz="0" w:space="0" w:color="auto"/>
            <w:right w:val="none" w:sz="0" w:space="0" w:color="auto"/>
          </w:divBdr>
        </w:div>
        <w:div w:id="2114008375">
          <w:marLeft w:val="0"/>
          <w:marRight w:val="0"/>
          <w:marTop w:val="0"/>
          <w:marBottom w:val="0"/>
          <w:divBdr>
            <w:top w:val="none" w:sz="0" w:space="0" w:color="auto"/>
            <w:left w:val="none" w:sz="0" w:space="0" w:color="auto"/>
            <w:bottom w:val="none" w:sz="0" w:space="0" w:color="auto"/>
            <w:right w:val="none" w:sz="0" w:space="0" w:color="auto"/>
          </w:divBdr>
        </w:div>
      </w:divsChild>
    </w:div>
    <w:div w:id="372076624">
      <w:bodyDiv w:val="1"/>
      <w:marLeft w:val="0"/>
      <w:marRight w:val="0"/>
      <w:marTop w:val="0"/>
      <w:marBottom w:val="0"/>
      <w:divBdr>
        <w:top w:val="none" w:sz="0" w:space="0" w:color="auto"/>
        <w:left w:val="none" w:sz="0" w:space="0" w:color="auto"/>
        <w:bottom w:val="none" w:sz="0" w:space="0" w:color="auto"/>
        <w:right w:val="none" w:sz="0" w:space="0" w:color="auto"/>
      </w:divBdr>
    </w:div>
    <w:div w:id="1044720727">
      <w:bodyDiv w:val="1"/>
      <w:marLeft w:val="0"/>
      <w:marRight w:val="0"/>
      <w:marTop w:val="0"/>
      <w:marBottom w:val="0"/>
      <w:divBdr>
        <w:top w:val="none" w:sz="0" w:space="0" w:color="auto"/>
        <w:left w:val="none" w:sz="0" w:space="0" w:color="auto"/>
        <w:bottom w:val="none" w:sz="0" w:space="0" w:color="auto"/>
        <w:right w:val="none" w:sz="0" w:space="0" w:color="auto"/>
      </w:divBdr>
    </w:div>
    <w:div w:id="1262251891">
      <w:bodyDiv w:val="1"/>
      <w:marLeft w:val="0"/>
      <w:marRight w:val="0"/>
      <w:marTop w:val="0"/>
      <w:marBottom w:val="0"/>
      <w:divBdr>
        <w:top w:val="none" w:sz="0" w:space="0" w:color="auto"/>
        <w:left w:val="none" w:sz="0" w:space="0" w:color="auto"/>
        <w:bottom w:val="none" w:sz="0" w:space="0" w:color="auto"/>
        <w:right w:val="none" w:sz="0" w:space="0" w:color="auto"/>
      </w:divBdr>
      <w:divsChild>
        <w:div w:id="223151593">
          <w:marLeft w:val="0"/>
          <w:marRight w:val="0"/>
          <w:marTop w:val="0"/>
          <w:marBottom w:val="0"/>
          <w:divBdr>
            <w:top w:val="none" w:sz="0" w:space="0" w:color="auto"/>
            <w:left w:val="none" w:sz="0" w:space="0" w:color="auto"/>
            <w:bottom w:val="none" w:sz="0" w:space="0" w:color="auto"/>
            <w:right w:val="none" w:sz="0" w:space="0" w:color="auto"/>
          </w:divBdr>
          <w:divsChild>
            <w:div w:id="1580671015">
              <w:marLeft w:val="0"/>
              <w:marRight w:val="0"/>
              <w:marTop w:val="0"/>
              <w:marBottom w:val="0"/>
              <w:divBdr>
                <w:top w:val="none" w:sz="0" w:space="0" w:color="auto"/>
                <w:left w:val="none" w:sz="0" w:space="0" w:color="auto"/>
                <w:bottom w:val="none" w:sz="0" w:space="0" w:color="auto"/>
                <w:right w:val="none" w:sz="0" w:space="0" w:color="auto"/>
              </w:divBdr>
            </w:div>
          </w:divsChild>
        </w:div>
        <w:div w:id="1398476053">
          <w:marLeft w:val="0"/>
          <w:marRight w:val="0"/>
          <w:marTop w:val="0"/>
          <w:marBottom w:val="0"/>
          <w:divBdr>
            <w:top w:val="none" w:sz="0" w:space="0" w:color="auto"/>
            <w:left w:val="none" w:sz="0" w:space="0" w:color="auto"/>
            <w:bottom w:val="none" w:sz="0" w:space="0" w:color="auto"/>
            <w:right w:val="none" w:sz="0" w:space="0" w:color="auto"/>
          </w:divBdr>
          <w:divsChild>
            <w:div w:id="111482513">
              <w:marLeft w:val="0"/>
              <w:marRight w:val="0"/>
              <w:marTop w:val="0"/>
              <w:marBottom w:val="0"/>
              <w:divBdr>
                <w:top w:val="none" w:sz="0" w:space="0" w:color="auto"/>
                <w:left w:val="none" w:sz="0" w:space="0" w:color="auto"/>
                <w:bottom w:val="none" w:sz="0" w:space="0" w:color="auto"/>
                <w:right w:val="none" w:sz="0" w:space="0" w:color="auto"/>
              </w:divBdr>
            </w:div>
            <w:div w:id="1374497395">
              <w:marLeft w:val="0"/>
              <w:marRight w:val="0"/>
              <w:marTop w:val="0"/>
              <w:marBottom w:val="93"/>
              <w:divBdr>
                <w:top w:val="none" w:sz="0" w:space="0" w:color="auto"/>
                <w:left w:val="none" w:sz="0" w:space="0" w:color="auto"/>
                <w:bottom w:val="none" w:sz="0" w:space="0" w:color="auto"/>
                <w:right w:val="none" w:sz="0" w:space="0" w:color="auto"/>
              </w:divBdr>
              <w:divsChild>
                <w:div w:id="1722636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5816393">
          <w:marLeft w:val="0"/>
          <w:marRight w:val="0"/>
          <w:marTop w:val="0"/>
          <w:marBottom w:val="0"/>
          <w:divBdr>
            <w:top w:val="none" w:sz="0" w:space="0" w:color="auto"/>
            <w:left w:val="none" w:sz="0" w:space="0" w:color="auto"/>
            <w:bottom w:val="none" w:sz="0" w:space="0" w:color="auto"/>
            <w:right w:val="none" w:sz="0" w:space="0" w:color="auto"/>
          </w:divBdr>
        </w:div>
      </w:divsChild>
    </w:div>
    <w:div w:id="1668560952">
      <w:bodyDiv w:val="1"/>
      <w:marLeft w:val="0"/>
      <w:marRight w:val="0"/>
      <w:marTop w:val="0"/>
      <w:marBottom w:val="0"/>
      <w:divBdr>
        <w:top w:val="none" w:sz="0" w:space="0" w:color="auto"/>
        <w:left w:val="none" w:sz="0" w:space="0" w:color="auto"/>
        <w:bottom w:val="none" w:sz="0" w:space="0" w:color="auto"/>
        <w:right w:val="none" w:sz="0" w:space="0" w:color="auto"/>
      </w:divBdr>
      <w:divsChild>
        <w:div w:id="689062926">
          <w:marLeft w:val="0"/>
          <w:marRight w:val="0"/>
          <w:marTop w:val="0"/>
          <w:marBottom w:val="0"/>
          <w:divBdr>
            <w:top w:val="none" w:sz="0" w:space="0" w:color="auto"/>
            <w:left w:val="none" w:sz="0" w:space="0" w:color="auto"/>
            <w:bottom w:val="none" w:sz="0" w:space="0" w:color="auto"/>
            <w:right w:val="none" w:sz="0" w:space="0" w:color="auto"/>
          </w:divBdr>
          <w:divsChild>
            <w:div w:id="92672409">
              <w:marLeft w:val="0"/>
              <w:marRight w:val="0"/>
              <w:marTop w:val="0"/>
              <w:marBottom w:val="0"/>
              <w:divBdr>
                <w:top w:val="none" w:sz="0" w:space="0" w:color="auto"/>
                <w:left w:val="none" w:sz="0" w:space="0" w:color="auto"/>
                <w:bottom w:val="none" w:sz="0" w:space="0" w:color="auto"/>
                <w:right w:val="none" w:sz="0" w:space="0" w:color="auto"/>
              </w:divBdr>
              <w:divsChild>
                <w:div w:id="1436900799">
                  <w:marLeft w:val="0"/>
                  <w:marRight w:val="0"/>
                  <w:marTop w:val="0"/>
                  <w:marBottom w:val="0"/>
                  <w:divBdr>
                    <w:top w:val="none" w:sz="0" w:space="0" w:color="auto"/>
                    <w:left w:val="none" w:sz="0" w:space="0" w:color="auto"/>
                    <w:bottom w:val="none" w:sz="0" w:space="0" w:color="auto"/>
                    <w:right w:val="none" w:sz="0" w:space="0" w:color="auto"/>
                  </w:divBdr>
                  <w:divsChild>
                    <w:div w:id="1061247104">
                      <w:marLeft w:val="0"/>
                      <w:marRight w:val="0"/>
                      <w:marTop w:val="0"/>
                      <w:marBottom w:val="0"/>
                      <w:divBdr>
                        <w:top w:val="none" w:sz="0" w:space="0" w:color="auto"/>
                        <w:left w:val="none" w:sz="0" w:space="0" w:color="auto"/>
                        <w:bottom w:val="none" w:sz="0" w:space="0" w:color="auto"/>
                        <w:right w:val="none" w:sz="0" w:space="0" w:color="auto"/>
                      </w:divBdr>
                      <w:divsChild>
                        <w:div w:id="834883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97121814">
      <w:bodyDiv w:val="1"/>
      <w:marLeft w:val="0"/>
      <w:marRight w:val="0"/>
      <w:marTop w:val="0"/>
      <w:marBottom w:val="0"/>
      <w:divBdr>
        <w:top w:val="none" w:sz="0" w:space="0" w:color="auto"/>
        <w:left w:val="none" w:sz="0" w:space="0" w:color="auto"/>
        <w:bottom w:val="none" w:sz="0" w:space="0" w:color="auto"/>
        <w:right w:val="none" w:sz="0" w:space="0" w:color="auto"/>
      </w:divBdr>
      <w:divsChild>
        <w:div w:id="512382531">
          <w:marLeft w:val="0"/>
          <w:marRight w:val="0"/>
          <w:marTop w:val="0"/>
          <w:marBottom w:val="0"/>
          <w:divBdr>
            <w:top w:val="none" w:sz="0" w:space="0" w:color="auto"/>
            <w:left w:val="none" w:sz="0" w:space="0" w:color="auto"/>
            <w:bottom w:val="none" w:sz="0" w:space="0" w:color="auto"/>
            <w:right w:val="none" w:sz="0" w:space="0" w:color="auto"/>
          </w:divBdr>
          <w:divsChild>
            <w:div w:id="1176506166">
              <w:marLeft w:val="0"/>
              <w:marRight w:val="0"/>
              <w:marTop w:val="0"/>
              <w:marBottom w:val="0"/>
              <w:divBdr>
                <w:top w:val="none" w:sz="0" w:space="0" w:color="auto"/>
                <w:left w:val="none" w:sz="0" w:space="0" w:color="auto"/>
                <w:bottom w:val="none" w:sz="0" w:space="0" w:color="auto"/>
                <w:right w:val="none" w:sz="0" w:space="0" w:color="auto"/>
              </w:divBdr>
              <w:divsChild>
                <w:div w:id="1959800153">
                  <w:marLeft w:val="0"/>
                  <w:marRight w:val="0"/>
                  <w:marTop w:val="0"/>
                  <w:marBottom w:val="0"/>
                  <w:divBdr>
                    <w:top w:val="none" w:sz="0" w:space="0" w:color="auto"/>
                    <w:left w:val="none" w:sz="0" w:space="0" w:color="auto"/>
                    <w:bottom w:val="none" w:sz="0" w:space="0" w:color="auto"/>
                    <w:right w:val="none" w:sz="0" w:space="0" w:color="auto"/>
                  </w:divBdr>
                  <w:divsChild>
                    <w:div w:id="2020038161">
                      <w:marLeft w:val="0"/>
                      <w:marRight w:val="0"/>
                      <w:marTop w:val="0"/>
                      <w:marBottom w:val="0"/>
                      <w:divBdr>
                        <w:top w:val="none" w:sz="0" w:space="0" w:color="auto"/>
                        <w:left w:val="none" w:sz="0" w:space="0" w:color="auto"/>
                        <w:bottom w:val="none" w:sz="0" w:space="0" w:color="auto"/>
                        <w:right w:val="none" w:sz="0" w:space="0" w:color="auto"/>
                      </w:divBdr>
                      <w:divsChild>
                        <w:div w:id="1340699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hyperlink" Target="https://www.emelbourne.net.au/biogs/EM00093b.htm" TargetMode="External"/><Relationship Id="rId3" Type="http://schemas.openxmlformats.org/officeDocument/2006/relationships/customXml" Target="../customXml/item3.xml"/><Relationship Id="rId21" Type="http://schemas.openxmlformats.org/officeDocument/2006/relationships/header" Target="header2.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png"/><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emf"/><Relationship Id="rId22" Type="http://schemas.openxmlformats.org/officeDocument/2006/relationships/footer" Target="footer2.xml"/><Relationship Id="R0530a76fb9e04c81" Type="http://schemas.microsoft.com/office/2019/09/relationships/intelligence" Target="intelligence.xml"/></Relationships>
</file>

<file path=word/_rels/header1.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8.png"/></Relationships>
</file>

<file path=word/_rels/header2.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1e38813c-8383-40ac-aac6-c130ac0789ad">
      <Terms xmlns="http://schemas.microsoft.com/office/infopath/2007/PartnerControls"/>
    </lcf76f155ced4ddcb4097134ff3c332f>
    <TaxCatchAll xmlns="7732951b-1e4d-4ca2-ae25-3c4f29afc10d"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A4DCA39892727A43AED8685A6B9892AC" ma:contentTypeVersion="16" ma:contentTypeDescription="Create a new document." ma:contentTypeScope="" ma:versionID="06c636b0634562424e492401b505047a">
  <xsd:schema xmlns:xsd="http://www.w3.org/2001/XMLSchema" xmlns:xs="http://www.w3.org/2001/XMLSchema" xmlns:p="http://schemas.microsoft.com/office/2006/metadata/properties" xmlns:ns2="1e38813c-8383-40ac-aac6-c130ac0789ad" xmlns:ns3="7732951b-1e4d-4ca2-ae25-3c4f29afc10d" targetNamespace="http://schemas.microsoft.com/office/2006/metadata/properties" ma:root="true" ma:fieldsID="ded78c2f4aff38b459540f72892d5355" ns2:_="" ns3:_="">
    <xsd:import namespace="1e38813c-8383-40ac-aac6-c130ac0789ad"/>
    <xsd:import namespace="7732951b-1e4d-4ca2-ae25-3c4f29afc10d"/>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2:MediaServiceLocation" minOccurs="0"/>
                <xsd:element ref="ns3:SharedWithUsers" minOccurs="0"/>
                <xsd:element ref="ns3:SharedWithDetails"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e38813c-8383-40ac-aac6-c130ac0789a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b489f8bb-ed4d-4602-b98b-499c5278b080"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7732951b-1e4d-4ca2-ae25-3c4f29afc10d"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56feeaad-4ddb-4bcf-b7b8-2f706658a740}" ma:internalName="TaxCatchAll" ma:showField="CatchAllData" ma:web="7732951b-1e4d-4ca2-ae25-3c4f29afc10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EF5EE9A-F0F6-461D-ACE6-59004ABAB799}">
  <ds:schemaRefs>
    <ds:schemaRef ds:uri="http://schemas.microsoft.com/office/2006/metadata/properties"/>
    <ds:schemaRef ds:uri="http://schemas.microsoft.com/office/infopath/2007/PartnerControls"/>
    <ds:schemaRef ds:uri="1e38813c-8383-40ac-aac6-c130ac0789ad"/>
    <ds:schemaRef ds:uri="7732951b-1e4d-4ca2-ae25-3c4f29afc10d"/>
  </ds:schemaRefs>
</ds:datastoreItem>
</file>

<file path=customXml/itemProps2.xml><?xml version="1.0" encoding="utf-8"?>
<ds:datastoreItem xmlns:ds="http://schemas.openxmlformats.org/officeDocument/2006/customXml" ds:itemID="{44C38FEC-EBA4-41B7-B3E6-98D70386AD8C}">
  <ds:schemaRefs>
    <ds:schemaRef ds:uri="http://schemas.microsoft.com/sharepoint/v3/contenttype/forms"/>
  </ds:schemaRefs>
</ds:datastoreItem>
</file>

<file path=customXml/itemProps3.xml><?xml version="1.0" encoding="utf-8"?>
<ds:datastoreItem xmlns:ds="http://schemas.openxmlformats.org/officeDocument/2006/customXml" ds:itemID="{BDF8B2B2-2D03-4E06-A709-48A971EE921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e38813c-8383-40ac-aac6-c130ac0789ad"/>
    <ds:schemaRef ds:uri="7732951b-1e4d-4ca2-ae25-3c4f29afc10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331091B-20CA-4DC5-BD36-5C896172B6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12</Pages>
  <Words>3097</Words>
  <Characters>16509</Characters>
  <Application>Microsoft Office Word</Application>
  <DocSecurity>0</DocSecurity>
  <Lines>366</Lines>
  <Paragraphs>124</Paragraphs>
  <ScaleCrop>false</ScaleCrop>
  <Company>City of Boroondara</Company>
  <LinksUpToDate>false</LinksUpToDate>
  <CharactersWithSpaces>19482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kmcmahon</dc:creator>
  <cp:keywords/>
  <dc:description/>
  <cp:lastModifiedBy>Julie Paget</cp:lastModifiedBy>
  <cp:revision>248</cp:revision>
  <cp:lastPrinted>2017-04-07T00:02:00Z</cp:lastPrinted>
  <dcterms:created xsi:type="dcterms:W3CDTF">2018-06-18T23:54:00Z</dcterms:created>
  <dcterms:modified xsi:type="dcterms:W3CDTF">2022-06-01T03:13:00Z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0x010100A4DCA39892727A43AED8685A6B9892AC</vt:lpwstr>
  </property>
  <property fmtid="{D5CDD505-2E9C-101B-9397-08002B2CF9AE}" pid="3" name="MediaServiceImageTags">
    <vt:lpwstr/>
  </property>
</Properties>
</file>