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BBFE9D" w14:textId="0AEE8CFD" w:rsidR="0007515A" w:rsidRPr="00533CF2" w:rsidRDefault="00FA29AD">
      <w:pPr>
        <w:rPr>
          <w:rFonts w:cs="Arial"/>
          <w:sz w:val="21"/>
          <w:szCs w:val="21"/>
        </w:rPr>
      </w:pP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t xml:space="preserve"> </w:t>
      </w:r>
    </w:p>
    <w:tbl>
      <w:tblPr>
        <w:tblW w:w="8613" w:type="dxa"/>
        <w:tblLook w:val="01E0" w:firstRow="1" w:lastRow="1" w:firstColumn="1" w:lastColumn="1" w:noHBand="0" w:noVBand="0"/>
      </w:tblPr>
      <w:tblGrid>
        <w:gridCol w:w="8613"/>
      </w:tblGrid>
      <w:tr w:rsidR="00824D69" w:rsidRPr="00533CF2" w14:paraId="69B64CA2" w14:textId="77777777" w:rsidTr="56C570C5">
        <w:tc>
          <w:tcPr>
            <w:tcW w:w="8613" w:type="dxa"/>
          </w:tcPr>
          <w:p w14:paraId="2523CE83" w14:textId="6FCEF5DB" w:rsidR="00824D69" w:rsidRPr="00EC327A" w:rsidRDefault="009C31D5" w:rsidP="00EC327A">
            <w:pPr>
              <w:rPr>
                <w:rFonts w:cs="Arial"/>
                <w:sz w:val="21"/>
                <w:szCs w:val="21"/>
              </w:rPr>
            </w:pPr>
            <w:r>
              <w:rPr>
                <w:rFonts w:cs="Arial"/>
                <w:b/>
                <w:sz w:val="21"/>
                <w:szCs w:val="21"/>
              </w:rPr>
              <w:t>Title</w:t>
            </w:r>
            <w:r w:rsidR="000274A4">
              <w:rPr>
                <w:rFonts w:cs="Arial"/>
                <w:b/>
                <w:sz w:val="21"/>
                <w:szCs w:val="21"/>
              </w:rPr>
              <w:t>:</w:t>
            </w:r>
            <w:r w:rsidR="000274A4" w:rsidRPr="00EF006C">
              <w:rPr>
                <w:rFonts w:cs="Arial"/>
                <w:bCs/>
                <w:sz w:val="21"/>
                <w:szCs w:val="21"/>
              </w:rPr>
              <w:t xml:space="preserve"> </w:t>
            </w:r>
            <w:r w:rsidR="00EC327A" w:rsidRPr="00D545AB">
              <w:rPr>
                <w:rFonts w:cs="Arial"/>
                <w:sz w:val="21"/>
                <w:szCs w:val="21"/>
              </w:rPr>
              <w:t>Ghirrawheen Farmhouse, Outbuildings and Orchard, 349-361 Diamond Creek Road</w:t>
            </w:r>
          </w:p>
        </w:tc>
      </w:tr>
      <w:tr w:rsidR="0053253F" w:rsidRPr="00533CF2" w14:paraId="48F0B5C5" w14:textId="77777777" w:rsidTr="56C570C5">
        <w:tc>
          <w:tcPr>
            <w:tcW w:w="8613" w:type="dxa"/>
          </w:tcPr>
          <w:p w14:paraId="11A6C2EA" w14:textId="77777777" w:rsidR="0053253F" w:rsidRPr="00533CF2" w:rsidRDefault="0053253F" w:rsidP="0053253F">
            <w:pPr>
              <w:rPr>
                <w:rFonts w:cs="Arial"/>
                <w:sz w:val="21"/>
                <w:szCs w:val="21"/>
              </w:rPr>
            </w:pPr>
          </w:p>
          <w:p w14:paraId="4590393D" w14:textId="4D1E3229" w:rsidR="0053253F" w:rsidRPr="00533CF2" w:rsidRDefault="0053253F" w:rsidP="00E0419F">
            <w:pPr>
              <w:rPr>
                <w:rFonts w:cs="Arial"/>
                <w:sz w:val="21"/>
                <w:szCs w:val="21"/>
              </w:rPr>
            </w:pPr>
            <w:r w:rsidRPr="00740B5D">
              <w:rPr>
                <w:rFonts w:cs="Arial"/>
                <w:b/>
                <w:bCs/>
                <w:sz w:val="21"/>
                <w:szCs w:val="21"/>
              </w:rPr>
              <w:t>Prepared by:</w:t>
            </w:r>
            <w:r w:rsidRPr="56C570C5">
              <w:rPr>
                <w:rFonts w:cs="Arial"/>
                <w:sz w:val="21"/>
                <w:szCs w:val="21"/>
              </w:rPr>
              <w:t xml:space="preserve"> </w:t>
            </w:r>
            <w:r w:rsidR="007A044E" w:rsidRPr="56C570C5">
              <w:rPr>
                <w:rFonts w:cs="Arial"/>
                <w:sz w:val="21"/>
                <w:szCs w:val="21"/>
              </w:rPr>
              <w:t>Trethowan Architect</w:t>
            </w:r>
            <w:r w:rsidR="00AA2B0C" w:rsidRPr="56C570C5">
              <w:rPr>
                <w:rFonts w:cs="Arial"/>
                <w:sz w:val="21"/>
                <w:szCs w:val="21"/>
              </w:rPr>
              <w:t>ure</w:t>
            </w:r>
          </w:p>
        </w:tc>
      </w:tr>
    </w:tbl>
    <w:p w14:paraId="557A33E3" w14:textId="77777777" w:rsidR="00FA29AD" w:rsidRPr="00533CF2" w:rsidRDefault="00FA29AD" w:rsidP="0053253F">
      <w:pPr>
        <w:rPr>
          <w:rFonts w:cs="Arial"/>
          <w:sz w:val="21"/>
          <w:szCs w:val="21"/>
        </w:rPr>
      </w:pPr>
    </w:p>
    <w:tbl>
      <w:tblPr>
        <w:tblW w:w="8613" w:type="dxa"/>
        <w:tblBorders>
          <w:insideH w:val="single" w:sz="4" w:space="0" w:color="auto"/>
          <w:insideV w:val="single" w:sz="4" w:space="0" w:color="auto"/>
        </w:tblBorders>
        <w:tblLook w:val="01E0" w:firstRow="1" w:lastRow="1" w:firstColumn="1" w:lastColumn="1" w:noHBand="0" w:noVBand="0"/>
      </w:tblPr>
      <w:tblGrid>
        <w:gridCol w:w="5495"/>
        <w:gridCol w:w="3118"/>
      </w:tblGrid>
      <w:tr w:rsidR="00F412AE" w:rsidRPr="00533CF2" w14:paraId="51C0521A" w14:textId="77777777" w:rsidTr="00492AB4">
        <w:trPr>
          <w:trHeight w:val="397"/>
        </w:trPr>
        <w:tc>
          <w:tcPr>
            <w:tcW w:w="8613" w:type="dxa"/>
            <w:gridSpan w:val="2"/>
          </w:tcPr>
          <w:p w14:paraId="4C2565D4" w14:textId="6EA0B211" w:rsidR="00F412AE" w:rsidRPr="00E0419F" w:rsidRDefault="00F412AE" w:rsidP="00465000">
            <w:pPr>
              <w:rPr>
                <w:rFonts w:cs="Arial"/>
                <w:sz w:val="21"/>
                <w:szCs w:val="21"/>
              </w:rPr>
            </w:pPr>
            <w:r w:rsidRPr="00533CF2">
              <w:rPr>
                <w:rFonts w:cs="Arial"/>
                <w:b/>
                <w:sz w:val="21"/>
                <w:szCs w:val="21"/>
              </w:rPr>
              <w:t>Address:</w:t>
            </w:r>
            <w:r w:rsidR="00E0419F" w:rsidRPr="00EF006C">
              <w:rPr>
                <w:rFonts w:cs="Arial"/>
                <w:bCs/>
                <w:sz w:val="21"/>
                <w:szCs w:val="21"/>
              </w:rPr>
              <w:t xml:space="preserve"> </w:t>
            </w:r>
            <w:r w:rsidR="00315F9A" w:rsidRPr="00D545AB">
              <w:rPr>
                <w:rFonts w:cs="Arial"/>
                <w:sz w:val="21"/>
                <w:szCs w:val="21"/>
              </w:rPr>
              <w:t>349-361 Diamond Creek Road</w:t>
            </w:r>
            <w:r w:rsidR="00315F9A">
              <w:rPr>
                <w:rFonts w:cs="Arial"/>
                <w:sz w:val="21"/>
                <w:szCs w:val="21"/>
              </w:rPr>
              <w:t>, Diamond Creek</w:t>
            </w:r>
          </w:p>
        </w:tc>
      </w:tr>
      <w:tr w:rsidR="00D00A0D" w:rsidRPr="00533CF2" w14:paraId="25C448F6" w14:textId="77777777" w:rsidTr="00492AB4">
        <w:trPr>
          <w:trHeight w:val="397"/>
        </w:trPr>
        <w:tc>
          <w:tcPr>
            <w:tcW w:w="5495" w:type="dxa"/>
          </w:tcPr>
          <w:p w14:paraId="5A1A9259" w14:textId="755C0A67" w:rsidR="00D00A0D" w:rsidRPr="00533CF2" w:rsidRDefault="00D00A0D" w:rsidP="00D545AB">
            <w:pPr>
              <w:jc w:val="left"/>
              <w:rPr>
                <w:rFonts w:cs="Arial"/>
                <w:b/>
                <w:sz w:val="21"/>
                <w:szCs w:val="21"/>
              </w:rPr>
            </w:pPr>
            <w:r w:rsidRPr="00533CF2">
              <w:rPr>
                <w:rFonts w:cs="Arial"/>
                <w:b/>
                <w:sz w:val="21"/>
                <w:szCs w:val="21"/>
              </w:rPr>
              <w:t>Name:</w:t>
            </w:r>
            <w:r w:rsidR="00EF006C" w:rsidRPr="00EF006C">
              <w:rPr>
                <w:rFonts w:cs="Arial"/>
                <w:bCs/>
                <w:sz w:val="21"/>
                <w:szCs w:val="21"/>
              </w:rPr>
              <w:t xml:space="preserve"> </w:t>
            </w:r>
            <w:r w:rsidR="00D545AB" w:rsidRPr="00D545AB">
              <w:rPr>
                <w:rFonts w:cs="Arial"/>
                <w:sz w:val="21"/>
                <w:szCs w:val="21"/>
              </w:rPr>
              <w:t>Ghirrawheen Farmhouse, Outbuildings and Orchard</w:t>
            </w:r>
          </w:p>
        </w:tc>
        <w:tc>
          <w:tcPr>
            <w:tcW w:w="3118" w:type="dxa"/>
          </w:tcPr>
          <w:p w14:paraId="486D578B" w14:textId="3A62D1DB" w:rsidR="00D00A0D" w:rsidRPr="00E0419F" w:rsidRDefault="00D00A0D" w:rsidP="00465000">
            <w:pPr>
              <w:rPr>
                <w:rFonts w:cs="Arial"/>
                <w:sz w:val="21"/>
                <w:szCs w:val="21"/>
              </w:rPr>
            </w:pPr>
            <w:r w:rsidRPr="00533CF2">
              <w:rPr>
                <w:rFonts w:cs="Arial"/>
                <w:b/>
                <w:sz w:val="21"/>
                <w:szCs w:val="21"/>
              </w:rPr>
              <w:t>Survey Date:</w:t>
            </w:r>
            <w:r w:rsidR="000274A4" w:rsidRPr="00EF006C">
              <w:rPr>
                <w:rFonts w:cs="Arial"/>
                <w:bCs/>
                <w:sz w:val="21"/>
                <w:szCs w:val="21"/>
              </w:rPr>
              <w:t xml:space="preserve"> </w:t>
            </w:r>
            <w:r w:rsidR="00EC327A" w:rsidRPr="001511E7">
              <w:rPr>
                <w:rFonts w:cs="Arial"/>
                <w:bCs/>
                <w:sz w:val="21"/>
                <w:szCs w:val="21"/>
              </w:rPr>
              <w:t>20/1/2022</w:t>
            </w:r>
          </w:p>
        </w:tc>
      </w:tr>
      <w:tr w:rsidR="00D00A0D" w:rsidRPr="00533CF2" w14:paraId="55B24944" w14:textId="77777777" w:rsidTr="00492AB4">
        <w:trPr>
          <w:trHeight w:val="397"/>
        </w:trPr>
        <w:tc>
          <w:tcPr>
            <w:tcW w:w="5495" w:type="dxa"/>
          </w:tcPr>
          <w:p w14:paraId="762FDA8F" w14:textId="5727B4EE" w:rsidR="00D00A0D" w:rsidRPr="00580661" w:rsidRDefault="00D00A0D" w:rsidP="00E0419F">
            <w:pPr>
              <w:rPr>
                <w:rFonts w:cs="Arial"/>
                <w:sz w:val="21"/>
                <w:szCs w:val="21"/>
              </w:rPr>
            </w:pPr>
            <w:r w:rsidRPr="00533CF2">
              <w:rPr>
                <w:rFonts w:cs="Arial"/>
                <w:b/>
                <w:sz w:val="21"/>
                <w:szCs w:val="21"/>
              </w:rPr>
              <w:t>Place Type:</w:t>
            </w:r>
            <w:r w:rsidR="00EF006C" w:rsidRPr="00EF006C">
              <w:rPr>
                <w:rFonts w:cs="Arial"/>
                <w:bCs/>
                <w:sz w:val="21"/>
                <w:szCs w:val="21"/>
              </w:rPr>
              <w:t xml:space="preserve"> </w:t>
            </w:r>
            <w:r w:rsidR="00EC327A">
              <w:rPr>
                <w:rFonts w:cs="Arial"/>
                <w:bCs/>
                <w:sz w:val="21"/>
                <w:szCs w:val="21"/>
              </w:rPr>
              <w:t>Individual Place</w:t>
            </w:r>
          </w:p>
        </w:tc>
        <w:tc>
          <w:tcPr>
            <w:tcW w:w="3118" w:type="dxa"/>
          </w:tcPr>
          <w:p w14:paraId="24E08DF2" w14:textId="35491BCF" w:rsidR="00D00A0D" w:rsidRPr="00E0419F" w:rsidRDefault="00D00A0D" w:rsidP="00465000">
            <w:pPr>
              <w:rPr>
                <w:rFonts w:cs="Arial"/>
                <w:sz w:val="21"/>
                <w:szCs w:val="21"/>
              </w:rPr>
            </w:pPr>
            <w:r w:rsidRPr="00533CF2">
              <w:rPr>
                <w:rFonts w:cs="Arial"/>
                <w:b/>
                <w:sz w:val="21"/>
                <w:szCs w:val="21"/>
              </w:rPr>
              <w:t>Architect:</w:t>
            </w:r>
            <w:r w:rsidR="000274A4" w:rsidRPr="00EF006C">
              <w:rPr>
                <w:rFonts w:cs="Arial"/>
                <w:bCs/>
                <w:sz w:val="21"/>
                <w:szCs w:val="21"/>
              </w:rPr>
              <w:t xml:space="preserve"> </w:t>
            </w:r>
          </w:p>
        </w:tc>
      </w:tr>
      <w:tr w:rsidR="00D00A0D" w:rsidRPr="00533CF2" w14:paraId="11DA50E0" w14:textId="77777777" w:rsidTr="00492AB4">
        <w:trPr>
          <w:trHeight w:val="397"/>
        </w:trPr>
        <w:tc>
          <w:tcPr>
            <w:tcW w:w="5495" w:type="dxa"/>
          </w:tcPr>
          <w:p w14:paraId="33B19311" w14:textId="1A76682B" w:rsidR="00D00A0D" w:rsidRPr="00580661" w:rsidRDefault="00D00A0D" w:rsidP="00E0419F">
            <w:pPr>
              <w:rPr>
                <w:rFonts w:cs="Arial"/>
                <w:sz w:val="21"/>
                <w:szCs w:val="21"/>
              </w:rPr>
            </w:pPr>
            <w:r w:rsidRPr="00533CF2">
              <w:rPr>
                <w:rFonts w:cs="Arial"/>
                <w:b/>
                <w:sz w:val="21"/>
                <w:szCs w:val="21"/>
              </w:rPr>
              <w:t>Grading:</w:t>
            </w:r>
            <w:r w:rsidR="000274A4" w:rsidRPr="00EF006C">
              <w:rPr>
                <w:rFonts w:cs="Arial"/>
                <w:bCs/>
                <w:sz w:val="21"/>
                <w:szCs w:val="21"/>
              </w:rPr>
              <w:t xml:space="preserve"> </w:t>
            </w:r>
            <w:r w:rsidR="00EC327A">
              <w:rPr>
                <w:rFonts w:cs="Arial"/>
                <w:bCs/>
                <w:sz w:val="21"/>
                <w:szCs w:val="21"/>
              </w:rPr>
              <w:t>Significant</w:t>
            </w:r>
          </w:p>
        </w:tc>
        <w:tc>
          <w:tcPr>
            <w:tcW w:w="3118" w:type="dxa"/>
          </w:tcPr>
          <w:p w14:paraId="3E63B317" w14:textId="71D502A5" w:rsidR="00D00A0D" w:rsidRPr="00533CF2" w:rsidRDefault="00D00A0D" w:rsidP="00014192">
            <w:pPr>
              <w:rPr>
                <w:rFonts w:cs="Arial"/>
                <w:b/>
                <w:sz w:val="21"/>
                <w:szCs w:val="21"/>
              </w:rPr>
            </w:pPr>
            <w:r w:rsidRPr="00533CF2">
              <w:rPr>
                <w:rFonts w:cs="Arial"/>
                <w:b/>
                <w:sz w:val="21"/>
                <w:szCs w:val="21"/>
              </w:rPr>
              <w:t>Builder:</w:t>
            </w:r>
            <w:r w:rsidR="000274A4" w:rsidRPr="00EF006C">
              <w:rPr>
                <w:rFonts w:cs="Arial"/>
                <w:bCs/>
                <w:sz w:val="21"/>
                <w:szCs w:val="21"/>
              </w:rPr>
              <w:t xml:space="preserve"> </w:t>
            </w:r>
          </w:p>
        </w:tc>
      </w:tr>
      <w:tr w:rsidR="00D00A0D" w:rsidRPr="00533CF2" w14:paraId="44683571" w14:textId="77777777" w:rsidTr="00492AB4">
        <w:trPr>
          <w:trHeight w:val="397"/>
        </w:trPr>
        <w:tc>
          <w:tcPr>
            <w:tcW w:w="5495" w:type="dxa"/>
          </w:tcPr>
          <w:p w14:paraId="7F5D5AD7" w14:textId="26050CE8" w:rsidR="00D00A0D" w:rsidRPr="00533CF2" w:rsidRDefault="00D00A0D" w:rsidP="0053253F">
            <w:pPr>
              <w:rPr>
                <w:rFonts w:cs="Arial"/>
                <w:b/>
                <w:sz w:val="21"/>
                <w:szCs w:val="21"/>
              </w:rPr>
            </w:pPr>
            <w:r w:rsidRPr="00533CF2">
              <w:rPr>
                <w:rFonts w:cs="Arial"/>
                <w:b/>
                <w:sz w:val="21"/>
                <w:szCs w:val="21"/>
              </w:rPr>
              <w:t>Extent of Overlay:</w:t>
            </w:r>
            <w:r w:rsidR="000274A4" w:rsidRPr="00EF006C">
              <w:rPr>
                <w:rFonts w:cs="Arial"/>
                <w:bCs/>
                <w:sz w:val="21"/>
                <w:szCs w:val="21"/>
              </w:rPr>
              <w:t xml:space="preserve"> </w:t>
            </w:r>
          </w:p>
        </w:tc>
        <w:tc>
          <w:tcPr>
            <w:tcW w:w="3118" w:type="dxa"/>
          </w:tcPr>
          <w:p w14:paraId="3B72F686" w14:textId="207D6214" w:rsidR="00D00A0D" w:rsidRPr="00E0419F" w:rsidRDefault="00D00A0D" w:rsidP="00465000">
            <w:pPr>
              <w:rPr>
                <w:rFonts w:cs="Arial"/>
                <w:sz w:val="21"/>
                <w:szCs w:val="21"/>
              </w:rPr>
            </w:pPr>
            <w:r w:rsidRPr="001511E7">
              <w:rPr>
                <w:rFonts w:cs="Arial"/>
                <w:b/>
                <w:sz w:val="21"/>
                <w:szCs w:val="21"/>
              </w:rPr>
              <w:t>Construction Date:</w:t>
            </w:r>
            <w:r w:rsidR="000274A4" w:rsidRPr="001511E7">
              <w:rPr>
                <w:rFonts w:cs="Arial"/>
                <w:bCs/>
                <w:sz w:val="21"/>
                <w:szCs w:val="21"/>
              </w:rPr>
              <w:t xml:space="preserve"> </w:t>
            </w:r>
            <w:r w:rsidR="00CE6F57" w:rsidRPr="001511E7">
              <w:rPr>
                <w:rFonts w:cs="Arial"/>
                <w:bCs/>
                <w:sz w:val="21"/>
                <w:szCs w:val="21"/>
              </w:rPr>
              <w:t xml:space="preserve">1925-28 </w:t>
            </w:r>
            <w:r w:rsidR="00224F1A" w:rsidRPr="001511E7">
              <w:rPr>
                <w:rFonts w:cs="Arial"/>
                <w:bCs/>
                <w:sz w:val="21"/>
                <w:szCs w:val="21"/>
              </w:rPr>
              <w:t>(outbuilding dates uncertain)</w:t>
            </w:r>
          </w:p>
        </w:tc>
      </w:tr>
    </w:tbl>
    <w:p w14:paraId="0FBA6BFB" w14:textId="7D7EBAE4" w:rsidR="00F0333B" w:rsidRPr="00533CF2" w:rsidRDefault="00AC5B23" w:rsidP="00AC5B23">
      <w:pPr>
        <w:jc w:val="center"/>
        <w:rPr>
          <w:rFonts w:cs="Arial"/>
          <w:sz w:val="21"/>
          <w:szCs w:val="21"/>
        </w:rPr>
      </w:pPr>
      <w:r>
        <w:rPr>
          <w:noProof/>
          <w:sz w:val="18"/>
          <w:lang w:eastAsia="en-AU"/>
        </w:rPr>
        <w:drawing>
          <wp:inline distT="0" distB="0" distL="0" distR="0" wp14:anchorId="17374751" wp14:editId="7E6ABB12">
            <wp:extent cx="2267585" cy="3063088"/>
            <wp:effectExtent l="0" t="0" r="0" b="4445"/>
            <wp:docPr id="2" name="docshape138" descr="Macintosh HD:Users:samanthawestbrooke:Documents:SW Pty Ltd:Projects:Nillumbik:Assessments:Diamond Creek Assessments:Images:349 Diamond Creek Road, a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cshape138" descr="Macintosh HD:Users:samanthawestbrooke:Documents:SW Pty Ltd:Projects:Nillumbik:Assessments:Diamond Creek Assessments:Images:349 Diamond Creek Road, aeria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8760" cy="3064675"/>
                    </a:xfrm>
                    <a:prstGeom prst="rect">
                      <a:avLst/>
                    </a:prstGeom>
                    <a:noFill/>
                    <a:ln>
                      <a:noFill/>
                    </a:ln>
                    <a:extLst/>
                  </pic:spPr>
                </pic:pic>
              </a:graphicData>
            </a:graphic>
          </wp:inline>
        </w:drawing>
      </w:r>
      <w:r>
        <w:rPr>
          <w:rFonts w:cs="Arial"/>
          <w:noProof/>
          <w:sz w:val="21"/>
          <w:szCs w:val="21"/>
          <w:lang w:eastAsia="en-AU"/>
        </w:rPr>
        <w:drawing>
          <wp:inline distT="0" distB="0" distL="0" distR="0" wp14:anchorId="6CE5205D" wp14:editId="1D18DCBD">
            <wp:extent cx="2750024" cy="30751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7500" cy="3094691"/>
                    </a:xfrm>
                    <a:prstGeom prst="rect">
                      <a:avLst/>
                    </a:prstGeom>
                    <a:noFill/>
                  </pic:spPr>
                </pic:pic>
              </a:graphicData>
            </a:graphic>
          </wp:inline>
        </w:drawing>
      </w:r>
    </w:p>
    <w:p w14:paraId="01899D33" w14:textId="77777777" w:rsidR="00AC5B23" w:rsidRDefault="00AC5B23" w:rsidP="00014192">
      <w:pPr>
        <w:rPr>
          <w:noProof/>
          <w:sz w:val="18"/>
          <w:lang w:eastAsia="en-AU"/>
        </w:rPr>
      </w:pPr>
    </w:p>
    <w:p w14:paraId="669E6592" w14:textId="6807794D" w:rsidR="00AC5B23" w:rsidRDefault="00AC5B23" w:rsidP="00AC5B23">
      <w:pPr>
        <w:jc w:val="center"/>
        <w:rPr>
          <w:noProof/>
          <w:sz w:val="18"/>
          <w:lang w:eastAsia="en-AU"/>
        </w:rPr>
      </w:pPr>
    </w:p>
    <w:p w14:paraId="439CB1DD" w14:textId="77777777" w:rsidR="00014192" w:rsidRPr="00533CF2" w:rsidRDefault="00014192" w:rsidP="00014192">
      <w:pPr>
        <w:rPr>
          <w:rFonts w:cs="Arial"/>
          <w:b/>
          <w:sz w:val="21"/>
          <w:szCs w:val="21"/>
        </w:rPr>
      </w:pPr>
      <w:bookmarkStart w:id="0" w:name="_GoBack"/>
      <w:bookmarkEnd w:id="0"/>
      <w:r w:rsidRPr="00533CF2">
        <w:rPr>
          <w:rFonts w:cs="Arial"/>
          <w:b/>
          <w:sz w:val="21"/>
          <w:szCs w:val="21"/>
        </w:rPr>
        <w:t>Historical Context</w:t>
      </w:r>
    </w:p>
    <w:p w14:paraId="6D604A5E" w14:textId="77777777" w:rsidR="00E0419F" w:rsidRDefault="00E0419F" w:rsidP="0053253F">
      <w:pPr>
        <w:rPr>
          <w:rFonts w:cs="Arial"/>
          <w:b/>
          <w:sz w:val="21"/>
          <w:szCs w:val="21"/>
        </w:rPr>
      </w:pPr>
    </w:p>
    <w:p w14:paraId="51C3B458" w14:textId="77777777" w:rsidR="001A7874" w:rsidRPr="001A7874" w:rsidRDefault="001A7874" w:rsidP="001A7874">
      <w:pPr>
        <w:rPr>
          <w:rFonts w:cs="Arial"/>
          <w:b/>
          <w:bCs/>
          <w:sz w:val="21"/>
          <w:szCs w:val="21"/>
        </w:rPr>
      </w:pPr>
      <w:r w:rsidRPr="001A7874">
        <w:rPr>
          <w:rFonts w:cs="Arial"/>
          <w:b/>
          <w:bCs/>
          <w:sz w:val="21"/>
          <w:szCs w:val="21"/>
        </w:rPr>
        <w:t>Early History of Diamond Creek</w:t>
      </w:r>
    </w:p>
    <w:p w14:paraId="5BEA78E5" w14:textId="77777777" w:rsidR="001A7874" w:rsidRPr="001A7874" w:rsidRDefault="001A7874" w:rsidP="001A7874">
      <w:pPr>
        <w:rPr>
          <w:rFonts w:cs="Arial"/>
          <w:sz w:val="21"/>
          <w:szCs w:val="21"/>
        </w:rPr>
      </w:pPr>
      <w:r w:rsidRPr="001A7874">
        <w:rPr>
          <w:rFonts w:cs="Arial"/>
          <w:sz w:val="21"/>
          <w:szCs w:val="21"/>
        </w:rPr>
        <w:t>Although Crown Land in Nillumbik Parish was offered for sale in 1852 there were few buyers. A government township was reserved on the west of the Diamond Creek at this time but it was neither subdivided nor sold until 1866. In 1863 the Diamond Reef was discovered on land purchased by Dr John Blakemore Phipps in 1854 east of the creek. The rush to Diamond Creek began and soon Phipps was renting sections of his land, which he later subdivided to</w:t>
      </w:r>
    </w:p>
    <w:p w14:paraId="4D2CDCBB" w14:textId="77777777" w:rsidR="001A7874" w:rsidRPr="001A7874" w:rsidRDefault="001A7874" w:rsidP="001A7874">
      <w:pPr>
        <w:rPr>
          <w:rFonts w:cs="Arial"/>
          <w:sz w:val="21"/>
          <w:szCs w:val="21"/>
        </w:rPr>
      </w:pPr>
      <w:r w:rsidRPr="001A7874">
        <w:rPr>
          <w:rFonts w:cs="Arial"/>
          <w:sz w:val="21"/>
          <w:szCs w:val="21"/>
        </w:rPr>
        <w:t xml:space="preserve"> </w:t>
      </w:r>
    </w:p>
    <w:p w14:paraId="1605F8EB" w14:textId="4D1CCF38" w:rsidR="00643D69" w:rsidRDefault="001A7874" w:rsidP="001A7874">
      <w:pPr>
        <w:rPr>
          <w:rFonts w:cs="Arial"/>
          <w:b/>
          <w:bCs/>
          <w:sz w:val="21"/>
          <w:szCs w:val="21"/>
        </w:rPr>
      </w:pPr>
      <w:r w:rsidRPr="001A7874">
        <w:rPr>
          <w:rFonts w:cs="Arial"/>
          <w:sz w:val="21"/>
          <w:szCs w:val="21"/>
        </w:rPr>
        <w:t>miners. In effect the development of Phipps land for gold mining was the beginnings of Diamond Creek, which was soon bustling with gold seekers. In 1866 the government proclaimed Diamond Creek as a township. Many of the important community buildings were established by the early 1870s. By the second half of the 1880s the locality was being carved up rapidly into a dominant pattern of numerous small lots of around 20 acres. These were taken up under occupation licenses, first under Section 49 of the Land Act 1869 and later under Section 65 of the Land Act 1884. Diamond Creek's population peaked around the turn of the century then seemed to fall away again in the early twentieth century (Graeme Butler &amp; Associates 1996, p.36).</w:t>
      </w:r>
    </w:p>
    <w:p w14:paraId="72719C00" w14:textId="77777777" w:rsidR="001612CB" w:rsidRPr="00533CF2" w:rsidRDefault="001612CB" w:rsidP="0053253F">
      <w:pPr>
        <w:rPr>
          <w:rFonts w:cs="Arial"/>
          <w:b/>
          <w:sz w:val="21"/>
          <w:szCs w:val="21"/>
        </w:rPr>
      </w:pPr>
    </w:p>
    <w:p w14:paraId="0F4D836C" w14:textId="77777777" w:rsidR="00F0333B" w:rsidRPr="00533CF2" w:rsidRDefault="00F0333B" w:rsidP="0053253F">
      <w:pPr>
        <w:rPr>
          <w:rFonts w:cs="Arial"/>
          <w:b/>
          <w:sz w:val="21"/>
          <w:szCs w:val="21"/>
        </w:rPr>
      </w:pPr>
      <w:r w:rsidRPr="00533CF2">
        <w:rPr>
          <w:rFonts w:cs="Arial"/>
          <w:b/>
          <w:sz w:val="21"/>
          <w:szCs w:val="21"/>
        </w:rPr>
        <w:t>History</w:t>
      </w:r>
    </w:p>
    <w:p w14:paraId="2BB781A7" w14:textId="29D1FA0E" w:rsidR="00B435E4" w:rsidRDefault="00B435E4" w:rsidP="00335ECB">
      <w:pPr>
        <w:rPr>
          <w:rFonts w:cs="Arial"/>
          <w:sz w:val="21"/>
          <w:szCs w:val="21"/>
        </w:rPr>
      </w:pPr>
    </w:p>
    <w:p w14:paraId="4488DD3D" w14:textId="77777777" w:rsidR="00B64107" w:rsidRPr="00CA4FB4" w:rsidRDefault="00B64107" w:rsidP="00B64107">
      <w:pPr>
        <w:rPr>
          <w:rFonts w:cs="Arial"/>
          <w:b/>
          <w:bCs/>
          <w:sz w:val="21"/>
          <w:szCs w:val="21"/>
        </w:rPr>
      </w:pPr>
      <w:r w:rsidRPr="00CA4FB4">
        <w:rPr>
          <w:rFonts w:cs="Arial"/>
          <w:b/>
          <w:bCs/>
          <w:sz w:val="21"/>
          <w:szCs w:val="21"/>
        </w:rPr>
        <w:t>349-361 Diamond Creek Road</w:t>
      </w:r>
    </w:p>
    <w:p w14:paraId="519C34DE" w14:textId="3AC099D8" w:rsidR="00B64107" w:rsidRDefault="00B64107" w:rsidP="00B64107">
      <w:pPr>
        <w:rPr>
          <w:rFonts w:cs="Arial"/>
          <w:sz w:val="21"/>
          <w:szCs w:val="21"/>
        </w:rPr>
      </w:pPr>
      <w:r w:rsidRPr="00B64107">
        <w:rPr>
          <w:rFonts w:cs="Arial"/>
          <w:sz w:val="21"/>
          <w:szCs w:val="21"/>
        </w:rPr>
        <w:t>The subject property was originally part of Lot 7 Section 22, Parish of Nillumbik. H.M. Bell obtained freehold for 80 acres Lot 7 Section 22 Parish of Nillumbik in 1872. Bell had taken up the land under an occupation license on auriferous land under Section 42 of the Amending Land Act 1865 and purchased under Section 13 of the same Act</w:t>
      </w:r>
      <w:r w:rsidR="001A37A9">
        <w:rPr>
          <w:rFonts w:cs="Arial"/>
          <w:sz w:val="21"/>
          <w:szCs w:val="21"/>
        </w:rPr>
        <w:t xml:space="preserve"> (</w:t>
      </w:r>
      <w:r w:rsidR="004066EF" w:rsidRPr="00983C9A">
        <w:rPr>
          <w:rFonts w:cs="Arial"/>
          <w:sz w:val="21"/>
          <w:szCs w:val="21"/>
        </w:rPr>
        <w:t>Nillumbik</w:t>
      </w:r>
      <w:r w:rsidR="001A37A9" w:rsidRPr="00983C9A">
        <w:rPr>
          <w:rFonts w:cs="Arial"/>
          <w:sz w:val="21"/>
          <w:szCs w:val="21"/>
        </w:rPr>
        <w:t xml:space="preserve"> Parish</w:t>
      </w:r>
      <w:r w:rsidR="001A37A9">
        <w:rPr>
          <w:rFonts w:cs="Arial"/>
          <w:sz w:val="21"/>
          <w:szCs w:val="21"/>
        </w:rPr>
        <w:t>)</w:t>
      </w:r>
      <w:r w:rsidRPr="00B64107">
        <w:rPr>
          <w:rFonts w:cs="Arial"/>
          <w:sz w:val="21"/>
          <w:szCs w:val="21"/>
        </w:rPr>
        <w:t>.</w:t>
      </w:r>
    </w:p>
    <w:p w14:paraId="454DE155" w14:textId="77777777" w:rsidR="00983C9A" w:rsidRPr="00B64107" w:rsidRDefault="00983C9A" w:rsidP="00B64107">
      <w:pPr>
        <w:rPr>
          <w:rFonts w:cs="Arial"/>
          <w:sz w:val="21"/>
          <w:szCs w:val="21"/>
        </w:rPr>
      </w:pPr>
    </w:p>
    <w:p w14:paraId="70A4FBF7" w14:textId="741D1591" w:rsidR="00B64107" w:rsidRPr="00B64107" w:rsidRDefault="00B64107" w:rsidP="00B64107">
      <w:pPr>
        <w:rPr>
          <w:rFonts w:cs="Arial"/>
          <w:sz w:val="21"/>
          <w:szCs w:val="21"/>
        </w:rPr>
      </w:pPr>
      <w:r w:rsidRPr="00B64107">
        <w:rPr>
          <w:rFonts w:cs="Arial"/>
          <w:sz w:val="21"/>
          <w:szCs w:val="21"/>
        </w:rPr>
        <w:t>James Cole obtained title to western half of Lot 7, (west of the easement for Larch Crescent) in 1888. This was an irregular polygonal block of 34 acres. Cole sold the land to William Harwood Finlay, gardener of Diamond Creek, in 1895</w:t>
      </w:r>
      <w:r w:rsidR="00C473CD">
        <w:rPr>
          <w:rFonts w:cs="Arial"/>
          <w:sz w:val="21"/>
          <w:szCs w:val="21"/>
        </w:rPr>
        <w:t xml:space="preserve"> (CT: V2094 F772)</w:t>
      </w:r>
      <w:r w:rsidRPr="00B64107">
        <w:rPr>
          <w:rFonts w:cs="Arial"/>
          <w:sz w:val="21"/>
          <w:szCs w:val="21"/>
        </w:rPr>
        <w:t>.</w:t>
      </w:r>
      <w:r w:rsidR="003E5F76">
        <w:rPr>
          <w:rFonts w:cs="Arial"/>
          <w:sz w:val="21"/>
          <w:szCs w:val="21"/>
        </w:rPr>
        <w:t xml:space="preserve"> </w:t>
      </w:r>
      <w:r w:rsidR="00E21F08">
        <w:rPr>
          <w:rFonts w:cs="Arial"/>
          <w:sz w:val="21"/>
          <w:szCs w:val="21"/>
        </w:rPr>
        <w:t>In 1902</w:t>
      </w:r>
      <w:r w:rsidR="000934FD">
        <w:rPr>
          <w:rFonts w:cs="Arial"/>
          <w:sz w:val="21"/>
          <w:szCs w:val="21"/>
        </w:rPr>
        <w:t xml:space="preserve">, part of Lot 7 was </w:t>
      </w:r>
      <w:r w:rsidR="00652B86">
        <w:rPr>
          <w:rFonts w:cs="Arial"/>
          <w:sz w:val="21"/>
          <w:szCs w:val="21"/>
        </w:rPr>
        <w:t>purchased by</w:t>
      </w:r>
      <w:r w:rsidR="000934FD">
        <w:rPr>
          <w:rFonts w:cs="Arial"/>
          <w:sz w:val="21"/>
          <w:szCs w:val="21"/>
        </w:rPr>
        <w:t xml:space="preserve"> </w:t>
      </w:r>
      <w:r w:rsidR="00C70006">
        <w:rPr>
          <w:rFonts w:cs="Arial"/>
          <w:sz w:val="21"/>
          <w:szCs w:val="21"/>
        </w:rPr>
        <w:t xml:space="preserve">Anne Finlay (nee Leach), </w:t>
      </w:r>
      <w:r w:rsidR="001A47BB">
        <w:rPr>
          <w:rFonts w:cs="Arial"/>
          <w:sz w:val="21"/>
          <w:szCs w:val="21"/>
        </w:rPr>
        <w:t>widow</w:t>
      </w:r>
      <w:r w:rsidR="0028726F">
        <w:rPr>
          <w:rFonts w:cs="Arial"/>
          <w:sz w:val="21"/>
          <w:szCs w:val="21"/>
        </w:rPr>
        <w:t xml:space="preserve"> of William’s brother, Robert </w:t>
      </w:r>
      <w:r w:rsidR="001A47BB">
        <w:rPr>
          <w:rFonts w:cs="Arial"/>
          <w:sz w:val="21"/>
          <w:szCs w:val="21"/>
        </w:rPr>
        <w:t>Mitchell Finl</w:t>
      </w:r>
      <w:r w:rsidR="001A47BB">
        <w:rPr>
          <w:rFonts w:cs="Arial" w:hint="eastAsia"/>
          <w:sz w:val="21"/>
          <w:szCs w:val="21"/>
          <w:lang w:eastAsia="zh-TW"/>
        </w:rPr>
        <w:t>a</w:t>
      </w:r>
      <w:r w:rsidR="001A47BB">
        <w:rPr>
          <w:rFonts w:cs="Arial"/>
          <w:sz w:val="21"/>
          <w:szCs w:val="21"/>
          <w:lang w:eastAsia="zh-TW"/>
        </w:rPr>
        <w:t xml:space="preserve">y (d 1885) (CT: V2094 F772). </w:t>
      </w:r>
      <w:r w:rsidR="00652B86">
        <w:rPr>
          <w:rFonts w:cs="Arial"/>
          <w:sz w:val="21"/>
          <w:szCs w:val="21"/>
          <w:lang w:eastAsia="zh-TW"/>
        </w:rPr>
        <w:t xml:space="preserve">In 1906, </w:t>
      </w:r>
      <w:r w:rsidR="00C9626F">
        <w:rPr>
          <w:rFonts w:cs="Arial"/>
          <w:sz w:val="21"/>
          <w:szCs w:val="21"/>
          <w:lang w:eastAsia="zh-TW"/>
        </w:rPr>
        <w:t xml:space="preserve">her son Robert Mitchell Finlay (junior), fruit grower of Diamond Creek, obtained the land (CT: V2094 F772). </w:t>
      </w:r>
    </w:p>
    <w:p w14:paraId="04633256" w14:textId="77777777" w:rsidR="00B64107" w:rsidRPr="00B64107" w:rsidRDefault="00B64107" w:rsidP="00B64107">
      <w:pPr>
        <w:rPr>
          <w:rFonts w:cs="Arial"/>
          <w:sz w:val="21"/>
          <w:szCs w:val="21"/>
        </w:rPr>
      </w:pPr>
    </w:p>
    <w:p w14:paraId="6C8ECD9A" w14:textId="77777777" w:rsidR="00B64107" w:rsidRPr="00CA4FB4" w:rsidRDefault="00B64107" w:rsidP="00B64107">
      <w:pPr>
        <w:rPr>
          <w:rFonts w:cs="Arial"/>
          <w:b/>
          <w:bCs/>
          <w:sz w:val="21"/>
          <w:szCs w:val="21"/>
        </w:rPr>
      </w:pPr>
      <w:r w:rsidRPr="00CA4FB4">
        <w:rPr>
          <w:rFonts w:cs="Arial"/>
          <w:b/>
          <w:bCs/>
          <w:sz w:val="21"/>
          <w:szCs w:val="21"/>
        </w:rPr>
        <w:t>Finlay orchardists</w:t>
      </w:r>
    </w:p>
    <w:p w14:paraId="2D17FA60" w14:textId="30B6C155" w:rsidR="003E65DA" w:rsidRPr="005A182B" w:rsidRDefault="007A4BDD" w:rsidP="003E65DA">
      <w:pPr>
        <w:rPr>
          <w:rFonts w:cs="Arial"/>
          <w:sz w:val="21"/>
          <w:szCs w:val="21"/>
        </w:rPr>
      </w:pPr>
      <w:r>
        <w:rPr>
          <w:rFonts w:cs="Arial"/>
          <w:sz w:val="21"/>
          <w:szCs w:val="21"/>
        </w:rPr>
        <w:t xml:space="preserve">The subject site formed part of Finlay’s </w:t>
      </w:r>
      <w:r w:rsidR="00AA1CC4">
        <w:rPr>
          <w:rFonts w:cs="Arial"/>
          <w:sz w:val="21"/>
          <w:szCs w:val="21"/>
        </w:rPr>
        <w:t>33-acre orchard</w:t>
      </w:r>
      <w:r w:rsidR="00980788">
        <w:rPr>
          <w:rFonts w:cs="Arial"/>
          <w:sz w:val="21"/>
          <w:szCs w:val="21"/>
        </w:rPr>
        <w:t xml:space="preserve"> throughout Finlay’s ownership. </w:t>
      </w:r>
      <w:r w:rsidR="00952BE1">
        <w:rPr>
          <w:rFonts w:cs="Arial"/>
          <w:sz w:val="21"/>
          <w:szCs w:val="21"/>
        </w:rPr>
        <w:t xml:space="preserve">The first mention of a </w:t>
      </w:r>
      <w:r w:rsidR="00BC2A0C">
        <w:rPr>
          <w:rFonts w:cs="Arial"/>
          <w:sz w:val="21"/>
          <w:szCs w:val="21"/>
        </w:rPr>
        <w:t>building</w:t>
      </w:r>
      <w:r w:rsidR="00980788">
        <w:rPr>
          <w:rFonts w:cs="Arial"/>
          <w:sz w:val="21"/>
          <w:szCs w:val="21"/>
        </w:rPr>
        <w:t xml:space="preserve"> occurred in 1922, when the</w:t>
      </w:r>
      <w:r w:rsidR="003E65DA" w:rsidRPr="005A182B">
        <w:rPr>
          <w:rFonts w:cs="Arial"/>
          <w:sz w:val="21"/>
          <w:szCs w:val="21"/>
        </w:rPr>
        <w:t xml:space="preserve"> rate book </w:t>
      </w:r>
      <w:r w:rsidR="00BC2A0C">
        <w:rPr>
          <w:rFonts w:cs="Arial"/>
          <w:sz w:val="21"/>
          <w:szCs w:val="21"/>
        </w:rPr>
        <w:t>records</w:t>
      </w:r>
      <w:r w:rsidR="00B62787">
        <w:rPr>
          <w:rFonts w:cs="Arial"/>
          <w:sz w:val="21"/>
          <w:szCs w:val="21"/>
        </w:rPr>
        <w:t xml:space="preserve"> that</w:t>
      </w:r>
      <w:r w:rsidR="003E65DA" w:rsidRPr="005A182B">
        <w:rPr>
          <w:rFonts w:cs="Arial"/>
          <w:sz w:val="21"/>
          <w:szCs w:val="21"/>
        </w:rPr>
        <w:t xml:space="preserve"> Finlay had built a “fruit house”</w:t>
      </w:r>
      <w:r w:rsidR="00B95958">
        <w:rPr>
          <w:rFonts w:cs="Arial"/>
          <w:sz w:val="21"/>
          <w:szCs w:val="21"/>
        </w:rPr>
        <w:t xml:space="preserve">, </w:t>
      </w:r>
      <w:r w:rsidR="003E65DA" w:rsidRPr="005A182B">
        <w:rPr>
          <w:rFonts w:cs="Arial"/>
          <w:sz w:val="21"/>
          <w:szCs w:val="21"/>
        </w:rPr>
        <w:t>possibly</w:t>
      </w:r>
      <w:r w:rsidR="00B95958">
        <w:rPr>
          <w:rFonts w:cs="Arial"/>
          <w:sz w:val="21"/>
          <w:szCs w:val="21"/>
        </w:rPr>
        <w:t xml:space="preserve"> referring to</w:t>
      </w:r>
      <w:r w:rsidR="003E65DA" w:rsidRPr="005A182B">
        <w:rPr>
          <w:rFonts w:cs="Arial"/>
          <w:sz w:val="21"/>
          <w:szCs w:val="21"/>
        </w:rPr>
        <w:t xml:space="preserve"> a packing shed</w:t>
      </w:r>
      <w:r w:rsidR="00983C9A">
        <w:rPr>
          <w:rFonts w:cs="Arial"/>
          <w:sz w:val="21"/>
          <w:szCs w:val="21"/>
        </w:rPr>
        <w:t xml:space="preserve"> (RB 1922).</w:t>
      </w:r>
      <w:r w:rsidR="00B95958">
        <w:rPr>
          <w:rFonts w:cs="Arial"/>
          <w:sz w:val="21"/>
          <w:szCs w:val="21"/>
        </w:rPr>
        <w:t xml:space="preserve"> </w:t>
      </w:r>
      <w:r w:rsidR="003E65DA" w:rsidRPr="005A182B">
        <w:rPr>
          <w:rFonts w:cs="Arial"/>
          <w:sz w:val="21"/>
          <w:szCs w:val="21"/>
        </w:rPr>
        <w:t xml:space="preserve">By 1928 the property had a house and </w:t>
      </w:r>
      <w:r w:rsidR="00513D26">
        <w:rPr>
          <w:rFonts w:cs="Arial"/>
          <w:sz w:val="21"/>
          <w:szCs w:val="21"/>
        </w:rPr>
        <w:t xml:space="preserve">the rate was increased </w:t>
      </w:r>
      <w:r w:rsidR="009B046F">
        <w:rPr>
          <w:rFonts w:cs="Arial"/>
          <w:sz w:val="21"/>
          <w:szCs w:val="21"/>
        </w:rPr>
        <w:t>to</w:t>
      </w:r>
      <w:r w:rsidR="003E65DA" w:rsidRPr="005A182B">
        <w:rPr>
          <w:rFonts w:cs="Arial"/>
          <w:sz w:val="21"/>
          <w:szCs w:val="21"/>
        </w:rPr>
        <w:t xml:space="preserve"> £75.122</w:t>
      </w:r>
      <w:r w:rsidR="009B046F">
        <w:rPr>
          <w:rFonts w:cs="Arial"/>
          <w:sz w:val="21"/>
          <w:szCs w:val="21"/>
        </w:rPr>
        <w:t xml:space="preserve"> from </w:t>
      </w:r>
      <w:r w:rsidR="009B046F" w:rsidRPr="00894E40">
        <w:rPr>
          <w:rFonts w:cs="Arial"/>
          <w:sz w:val="21"/>
          <w:szCs w:val="21"/>
        </w:rPr>
        <w:t>£42.120</w:t>
      </w:r>
      <w:r w:rsidR="009B046F" w:rsidRPr="005A182B">
        <w:rPr>
          <w:rFonts w:cs="Arial"/>
          <w:sz w:val="21"/>
          <w:szCs w:val="21"/>
        </w:rPr>
        <w:t xml:space="preserve"> </w:t>
      </w:r>
      <w:r w:rsidR="009B046F">
        <w:rPr>
          <w:rFonts w:cs="Arial"/>
          <w:sz w:val="21"/>
          <w:szCs w:val="21"/>
        </w:rPr>
        <w:t>of the previous year (</w:t>
      </w:r>
      <w:r w:rsidR="009B046F" w:rsidRPr="00894E40">
        <w:rPr>
          <w:rFonts w:cs="Arial"/>
          <w:sz w:val="21"/>
          <w:szCs w:val="21"/>
        </w:rPr>
        <w:t xml:space="preserve">RB </w:t>
      </w:r>
      <w:r w:rsidR="00303A99" w:rsidRPr="00894E40">
        <w:rPr>
          <w:rFonts w:cs="Arial"/>
          <w:sz w:val="21"/>
          <w:szCs w:val="21"/>
        </w:rPr>
        <w:t xml:space="preserve">1925, 1926, </w:t>
      </w:r>
      <w:r w:rsidR="009B046F" w:rsidRPr="00894E40">
        <w:rPr>
          <w:rFonts w:cs="Arial"/>
          <w:sz w:val="21"/>
          <w:szCs w:val="21"/>
        </w:rPr>
        <w:t>1927</w:t>
      </w:r>
      <w:r w:rsidR="00303A99" w:rsidRPr="00894E40">
        <w:rPr>
          <w:rFonts w:cs="Arial"/>
          <w:sz w:val="21"/>
          <w:szCs w:val="21"/>
        </w:rPr>
        <w:t xml:space="preserve"> and</w:t>
      </w:r>
      <w:r w:rsidR="009B046F" w:rsidRPr="00894E40">
        <w:rPr>
          <w:rFonts w:cs="Arial"/>
          <w:sz w:val="21"/>
          <w:szCs w:val="21"/>
        </w:rPr>
        <w:t xml:space="preserve"> 1928</w:t>
      </w:r>
      <w:r w:rsidR="009B046F">
        <w:rPr>
          <w:rFonts w:cs="Arial"/>
          <w:sz w:val="21"/>
          <w:szCs w:val="21"/>
        </w:rPr>
        <w:t>)</w:t>
      </w:r>
      <w:r w:rsidR="00983C9A">
        <w:rPr>
          <w:rFonts w:cs="Arial"/>
          <w:sz w:val="21"/>
          <w:szCs w:val="21"/>
        </w:rPr>
        <w:t>. This implies</w:t>
      </w:r>
      <w:r w:rsidR="003E65DA" w:rsidRPr="005A182B">
        <w:rPr>
          <w:rFonts w:cs="Arial"/>
          <w:sz w:val="21"/>
          <w:szCs w:val="21"/>
        </w:rPr>
        <w:t xml:space="preserve"> the house was built between 1925 and 1928.  The1930 map shows extensive orchards to the east of the house</w:t>
      </w:r>
      <w:r w:rsidR="00FC6493">
        <w:rPr>
          <w:rFonts w:cs="Arial"/>
          <w:sz w:val="21"/>
          <w:szCs w:val="21"/>
        </w:rPr>
        <w:t xml:space="preserve"> (Great Britain War Office, 1920)</w:t>
      </w:r>
      <w:r w:rsidR="003E65DA" w:rsidRPr="005A182B">
        <w:rPr>
          <w:rFonts w:cs="Arial"/>
          <w:sz w:val="21"/>
          <w:szCs w:val="21"/>
        </w:rPr>
        <w:t>.</w:t>
      </w:r>
    </w:p>
    <w:p w14:paraId="6EC8DAAF" w14:textId="77777777" w:rsidR="00B64107" w:rsidRPr="00B64107" w:rsidRDefault="00B64107" w:rsidP="00B64107">
      <w:pPr>
        <w:rPr>
          <w:rFonts w:cs="Arial"/>
          <w:sz w:val="21"/>
          <w:szCs w:val="21"/>
        </w:rPr>
      </w:pPr>
    </w:p>
    <w:p w14:paraId="53DF0036" w14:textId="77777777" w:rsidR="003E65DA" w:rsidRDefault="003E65DA" w:rsidP="005A182B">
      <w:pPr>
        <w:rPr>
          <w:rFonts w:cs="Arial"/>
          <w:sz w:val="21"/>
          <w:szCs w:val="21"/>
        </w:rPr>
      </w:pPr>
    </w:p>
    <w:p w14:paraId="4657C203" w14:textId="6AFD32BA" w:rsidR="0061569B" w:rsidRDefault="00B64107" w:rsidP="005A182B">
      <w:pPr>
        <w:rPr>
          <w:rFonts w:cs="Arial"/>
          <w:sz w:val="21"/>
          <w:szCs w:val="21"/>
        </w:rPr>
      </w:pPr>
      <w:r w:rsidRPr="00B64107">
        <w:rPr>
          <w:rFonts w:cs="Arial"/>
          <w:sz w:val="21"/>
          <w:szCs w:val="21"/>
        </w:rPr>
        <w:t>Robert</w:t>
      </w:r>
      <w:r w:rsidR="00903FAC">
        <w:rPr>
          <w:rFonts w:cs="Arial"/>
          <w:sz w:val="21"/>
          <w:szCs w:val="21"/>
        </w:rPr>
        <w:t xml:space="preserve"> Finlay</w:t>
      </w:r>
      <w:r w:rsidRPr="00B64107">
        <w:rPr>
          <w:rFonts w:cs="Arial"/>
          <w:sz w:val="21"/>
          <w:szCs w:val="21"/>
        </w:rPr>
        <w:t xml:space="preserve"> was part of a new generation of orchardists open to new techniques and fruit varieties, which was replacing the old guard of the district established in the nineteenth century. He had already become the secretary of Diamond Creek Horticultural Society by 1907, suggesting he was already established as a fruit grower</w:t>
      </w:r>
      <w:r w:rsidR="00AE51F4">
        <w:rPr>
          <w:rFonts w:cs="Arial"/>
          <w:sz w:val="21"/>
          <w:szCs w:val="21"/>
        </w:rPr>
        <w:t xml:space="preserve"> (</w:t>
      </w:r>
      <w:r w:rsidR="00AE51F4">
        <w:rPr>
          <w:rFonts w:cs="Arial"/>
          <w:i/>
          <w:iCs/>
          <w:sz w:val="21"/>
          <w:szCs w:val="21"/>
        </w:rPr>
        <w:t xml:space="preserve">Leader, </w:t>
      </w:r>
      <w:r w:rsidR="009D0BD5">
        <w:rPr>
          <w:rFonts w:cs="Arial"/>
          <w:sz w:val="21"/>
          <w:szCs w:val="21"/>
        </w:rPr>
        <w:t>5 January 1907: 3)</w:t>
      </w:r>
      <w:r w:rsidRPr="00B64107">
        <w:rPr>
          <w:rFonts w:cs="Arial"/>
          <w:sz w:val="21"/>
          <w:szCs w:val="21"/>
        </w:rPr>
        <w:t>. In 1911 a demonstration of “subsoiling by the use of explosives” was given at his orchard.114 By 1913 he was the president of the Society, and a toast at a Society luncheon proposed that “the success of the Society was in great measure due to his exertions</w:t>
      </w:r>
      <w:r w:rsidR="00E13B5E">
        <w:rPr>
          <w:rFonts w:cs="Arial"/>
          <w:sz w:val="21"/>
          <w:szCs w:val="21"/>
        </w:rPr>
        <w:t xml:space="preserve"> (</w:t>
      </w:r>
      <w:r w:rsidR="00E13B5E" w:rsidRPr="00894E40">
        <w:rPr>
          <w:rFonts w:cs="Arial"/>
          <w:i/>
          <w:iCs/>
          <w:sz w:val="21"/>
          <w:szCs w:val="21"/>
        </w:rPr>
        <w:t>Age</w:t>
      </w:r>
      <w:r w:rsidR="00E13B5E">
        <w:rPr>
          <w:rFonts w:cs="Arial"/>
          <w:sz w:val="21"/>
          <w:szCs w:val="21"/>
        </w:rPr>
        <w:t xml:space="preserve">, 11 September 1913: 12; </w:t>
      </w:r>
      <w:r w:rsidR="001E5790">
        <w:rPr>
          <w:rFonts w:cs="Arial"/>
          <w:i/>
          <w:iCs/>
          <w:sz w:val="21"/>
          <w:szCs w:val="21"/>
        </w:rPr>
        <w:t>EOBE</w:t>
      </w:r>
      <w:r w:rsidR="001E5790" w:rsidRPr="001E5790">
        <w:rPr>
          <w:rFonts w:cs="Arial"/>
          <w:sz w:val="21"/>
          <w:szCs w:val="21"/>
        </w:rPr>
        <w:t>R</w:t>
      </w:r>
      <w:r w:rsidR="001E5790">
        <w:rPr>
          <w:rFonts w:cs="Arial"/>
          <w:sz w:val="21"/>
          <w:szCs w:val="21"/>
        </w:rPr>
        <w:t>, 28 March 1913</w:t>
      </w:r>
      <w:r w:rsidR="003D22CE">
        <w:rPr>
          <w:rFonts w:cs="Arial"/>
          <w:sz w:val="21"/>
          <w:szCs w:val="21"/>
        </w:rPr>
        <w:t>: 3)</w:t>
      </w:r>
      <w:r w:rsidR="00FF4589">
        <w:rPr>
          <w:rFonts w:cs="Arial"/>
          <w:sz w:val="21"/>
          <w:szCs w:val="21"/>
        </w:rPr>
        <w:t>.</w:t>
      </w:r>
      <w:r w:rsidRPr="00B64107">
        <w:rPr>
          <w:rFonts w:cs="Arial"/>
          <w:sz w:val="21"/>
          <w:szCs w:val="21"/>
        </w:rPr>
        <w:t xml:space="preserve"> In 1913 he was carrying out extensive drainage work on his young orchard. “The plantation is reported to be making great </w:t>
      </w:r>
      <w:r w:rsidR="004066EF" w:rsidRPr="00B64107">
        <w:rPr>
          <w:rFonts w:cs="Arial"/>
          <w:sz w:val="21"/>
          <w:szCs w:val="21"/>
        </w:rPr>
        <w:t>headway”</w:t>
      </w:r>
      <w:r w:rsidR="004066EF">
        <w:rPr>
          <w:rFonts w:cs="Arial"/>
          <w:sz w:val="21"/>
          <w:szCs w:val="21"/>
        </w:rPr>
        <w:t xml:space="preserve"> (</w:t>
      </w:r>
      <w:r w:rsidR="001B51AA" w:rsidRPr="001B51AA">
        <w:rPr>
          <w:rFonts w:cs="Arial"/>
          <w:i/>
          <w:iCs/>
          <w:sz w:val="21"/>
          <w:szCs w:val="21"/>
        </w:rPr>
        <w:t>Australasian</w:t>
      </w:r>
      <w:r w:rsidR="001B51AA">
        <w:rPr>
          <w:rFonts w:cs="Arial"/>
          <w:sz w:val="21"/>
          <w:szCs w:val="21"/>
        </w:rPr>
        <w:t>, 30 August 1913: 11)</w:t>
      </w:r>
      <w:r w:rsidR="00CA7E29">
        <w:rPr>
          <w:rFonts w:cs="Arial"/>
          <w:sz w:val="21"/>
          <w:szCs w:val="21"/>
        </w:rPr>
        <w:t xml:space="preserve">. </w:t>
      </w:r>
      <w:r w:rsidRPr="00B64107">
        <w:rPr>
          <w:rFonts w:cs="Arial"/>
          <w:sz w:val="21"/>
          <w:szCs w:val="21"/>
        </w:rPr>
        <w:t>In 1914 he won first prize at the Diamond Creek Show for Beurre Bosc pears from his “young</w:t>
      </w:r>
      <w:r w:rsidR="005A182B">
        <w:rPr>
          <w:rFonts w:cs="Arial"/>
          <w:sz w:val="21"/>
          <w:szCs w:val="21"/>
        </w:rPr>
        <w:t xml:space="preserve"> </w:t>
      </w:r>
      <w:r w:rsidR="005A182B" w:rsidRPr="005A182B">
        <w:rPr>
          <w:rFonts w:cs="Arial"/>
          <w:sz w:val="21"/>
          <w:szCs w:val="21"/>
        </w:rPr>
        <w:t>orchard”</w:t>
      </w:r>
      <w:r w:rsidR="006053BC">
        <w:rPr>
          <w:rFonts w:cs="Arial"/>
          <w:sz w:val="21"/>
          <w:szCs w:val="21"/>
        </w:rPr>
        <w:t xml:space="preserve"> (</w:t>
      </w:r>
      <w:r w:rsidR="006053BC">
        <w:rPr>
          <w:rFonts w:cs="Arial"/>
          <w:i/>
          <w:iCs/>
          <w:sz w:val="21"/>
          <w:szCs w:val="21"/>
        </w:rPr>
        <w:t xml:space="preserve">Australasian, </w:t>
      </w:r>
      <w:r w:rsidR="006053BC">
        <w:rPr>
          <w:rFonts w:cs="Arial"/>
          <w:sz w:val="21"/>
          <w:szCs w:val="21"/>
        </w:rPr>
        <w:t>28 March, 1914: 10)</w:t>
      </w:r>
      <w:r w:rsidR="00CA7E29">
        <w:rPr>
          <w:rFonts w:cs="Arial"/>
          <w:sz w:val="21"/>
          <w:szCs w:val="21"/>
        </w:rPr>
        <w:t xml:space="preserve">. </w:t>
      </w:r>
      <w:r w:rsidR="005A182B" w:rsidRPr="005A182B">
        <w:rPr>
          <w:rFonts w:cs="Arial"/>
          <w:sz w:val="21"/>
          <w:szCs w:val="21"/>
        </w:rPr>
        <w:t>In 1917 he exhibited pears from his “young orchard” at the Diamond Creek Show</w:t>
      </w:r>
      <w:r w:rsidR="004E5971">
        <w:rPr>
          <w:rFonts w:cs="Arial"/>
          <w:sz w:val="21"/>
          <w:szCs w:val="21"/>
        </w:rPr>
        <w:t xml:space="preserve"> (</w:t>
      </w:r>
      <w:r w:rsidR="004E5971">
        <w:rPr>
          <w:rFonts w:cs="Arial"/>
          <w:i/>
          <w:iCs/>
          <w:sz w:val="21"/>
          <w:szCs w:val="21"/>
        </w:rPr>
        <w:t>Australasian</w:t>
      </w:r>
      <w:r w:rsidR="004E5971">
        <w:rPr>
          <w:rFonts w:cs="Arial"/>
          <w:sz w:val="21"/>
          <w:szCs w:val="21"/>
        </w:rPr>
        <w:t>, 17 March 1917: 9)</w:t>
      </w:r>
      <w:r w:rsidR="00CA7E29">
        <w:rPr>
          <w:rFonts w:cs="Arial"/>
          <w:sz w:val="21"/>
          <w:szCs w:val="21"/>
        </w:rPr>
        <w:t>.</w:t>
      </w:r>
    </w:p>
    <w:p w14:paraId="2AA53330" w14:textId="77777777" w:rsidR="0061569B" w:rsidRDefault="0061569B" w:rsidP="005A182B">
      <w:pPr>
        <w:rPr>
          <w:rFonts w:cs="Arial"/>
          <w:sz w:val="21"/>
          <w:szCs w:val="21"/>
        </w:rPr>
      </w:pPr>
    </w:p>
    <w:p w14:paraId="1B86CC3A" w14:textId="312039E0" w:rsidR="005A182B" w:rsidRPr="005A182B" w:rsidRDefault="005A182B" w:rsidP="005A182B">
      <w:pPr>
        <w:rPr>
          <w:rFonts w:cs="Arial"/>
          <w:sz w:val="21"/>
          <w:szCs w:val="21"/>
        </w:rPr>
      </w:pPr>
      <w:r w:rsidRPr="005A182B">
        <w:rPr>
          <w:rFonts w:cs="Arial"/>
          <w:sz w:val="21"/>
          <w:szCs w:val="21"/>
        </w:rPr>
        <w:t>Robert</w:t>
      </w:r>
      <w:r w:rsidR="00785F3A">
        <w:rPr>
          <w:rFonts w:cs="Arial"/>
          <w:sz w:val="21"/>
          <w:szCs w:val="21"/>
        </w:rPr>
        <w:t xml:space="preserve"> Mitchell Finlay</w:t>
      </w:r>
      <w:r w:rsidRPr="005A182B">
        <w:rPr>
          <w:rFonts w:cs="Arial"/>
          <w:sz w:val="21"/>
          <w:szCs w:val="21"/>
        </w:rPr>
        <w:t xml:space="preserve"> was a</w:t>
      </w:r>
      <w:r w:rsidR="00A524C2">
        <w:rPr>
          <w:rFonts w:cs="Arial"/>
          <w:sz w:val="21"/>
          <w:szCs w:val="21"/>
        </w:rPr>
        <w:t>n active and</w:t>
      </w:r>
      <w:r w:rsidRPr="005A182B">
        <w:rPr>
          <w:rFonts w:cs="Arial"/>
          <w:sz w:val="21"/>
          <w:szCs w:val="21"/>
        </w:rPr>
        <w:t xml:space="preserve"> respected figure in the fruit-growing community</w:t>
      </w:r>
      <w:r w:rsidR="000E03A6">
        <w:rPr>
          <w:rFonts w:cs="Arial"/>
          <w:sz w:val="21"/>
          <w:szCs w:val="21"/>
        </w:rPr>
        <w:t xml:space="preserve">, and held positions in </w:t>
      </w:r>
      <w:r w:rsidR="007C6201">
        <w:rPr>
          <w:rFonts w:cs="Arial"/>
          <w:sz w:val="21"/>
          <w:szCs w:val="21"/>
        </w:rPr>
        <w:t xml:space="preserve">the Fruit-Grower’s’ Cool Stores Association of Victoria </w:t>
      </w:r>
      <w:r w:rsidR="0073704A">
        <w:rPr>
          <w:rFonts w:cs="Arial"/>
          <w:sz w:val="21"/>
          <w:szCs w:val="21"/>
        </w:rPr>
        <w:t>store (</w:t>
      </w:r>
      <w:r w:rsidR="0073704A">
        <w:rPr>
          <w:rFonts w:cs="Arial"/>
          <w:i/>
          <w:iCs/>
          <w:sz w:val="21"/>
          <w:szCs w:val="21"/>
        </w:rPr>
        <w:t>Hurstbridge Advertiser</w:t>
      </w:r>
      <w:r w:rsidR="0073704A">
        <w:rPr>
          <w:rFonts w:cs="Arial"/>
          <w:sz w:val="21"/>
          <w:szCs w:val="21"/>
        </w:rPr>
        <w:t xml:space="preserve">¸5 September 1924:2) </w:t>
      </w:r>
      <w:r w:rsidR="007C6201">
        <w:rPr>
          <w:rFonts w:cs="Arial"/>
          <w:sz w:val="21"/>
          <w:szCs w:val="21"/>
        </w:rPr>
        <w:t xml:space="preserve">and the Diamond Creek Co-operative </w:t>
      </w:r>
      <w:r w:rsidR="0073704A">
        <w:rPr>
          <w:rFonts w:cs="Arial"/>
          <w:sz w:val="21"/>
          <w:szCs w:val="21"/>
        </w:rPr>
        <w:t>Cool</w:t>
      </w:r>
      <w:r w:rsidR="00003041">
        <w:rPr>
          <w:rFonts w:cs="Arial"/>
          <w:sz w:val="21"/>
          <w:szCs w:val="21"/>
        </w:rPr>
        <w:t xml:space="preserve"> Store (</w:t>
      </w:r>
      <w:r w:rsidR="00003041">
        <w:rPr>
          <w:rFonts w:cs="Arial"/>
          <w:i/>
          <w:iCs/>
          <w:sz w:val="21"/>
          <w:szCs w:val="21"/>
        </w:rPr>
        <w:t>Weekly Times</w:t>
      </w:r>
      <w:r w:rsidR="00003041">
        <w:rPr>
          <w:rFonts w:cs="Arial"/>
          <w:sz w:val="21"/>
          <w:szCs w:val="21"/>
        </w:rPr>
        <w:t>, 23 February 1929: 28)</w:t>
      </w:r>
      <w:r w:rsidRPr="005A182B">
        <w:rPr>
          <w:rFonts w:cs="Arial"/>
          <w:sz w:val="21"/>
          <w:szCs w:val="21"/>
        </w:rPr>
        <w:t xml:space="preserve">. </w:t>
      </w:r>
      <w:r w:rsidR="000107A9">
        <w:rPr>
          <w:rFonts w:cs="Arial"/>
          <w:sz w:val="21"/>
          <w:szCs w:val="21"/>
        </w:rPr>
        <w:t>Upon his death in 1949, his</w:t>
      </w:r>
      <w:r w:rsidRPr="005A182B">
        <w:rPr>
          <w:rFonts w:cs="Arial"/>
          <w:sz w:val="21"/>
          <w:szCs w:val="21"/>
        </w:rPr>
        <w:t xml:space="preserve"> probate papers described the Diamond Creek property as “31 acres of neglected orchard country with a six-roomed weatherboard house”. The fruit trees were described as “old”</w:t>
      </w:r>
      <w:r w:rsidR="00CA7E29">
        <w:rPr>
          <w:rFonts w:cs="Arial"/>
          <w:sz w:val="21"/>
          <w:szCs w:val="21"/>
        </w:rPr>
        <w:t xml:space="preserve"> </w:t>
      </w:r>
      <w:r w:rsidR="00D14341">
        <w:rPr>
          <w:rFonts w:cs="Arial"/>
          <w:sz w:val="21"/>
          <w:szCs w:val="21"/>
        </w:rPr>
        <w:t>(PROV, VPRS 28</w:t>
      </w:r>
      <w:r w:rsidR="00DE5339">
        <w:rPr>
          <w:rFonts w:cs="Arial"/>
          <w:sz w:val="21"/>
          <w:szCs w:val="21"/>
        </w:rPr>
        <w:t>/P3</w:t>
      </w:r>
      <w:r w:rsidR="00CD339E">
        <w:rPr>
          <w:rFonts w:cs="Arial"/>
          <w:sz w:val="21"/>
          <w:szCs w:val="21"/>
        </w:rPr>
        <w:t>,424/708)</w:t>
      </w:r>
      <w:r w:rsidRPr="005A182B">
        <w:rPr>
          <w:rFonts w:cs="Arial"/>
          <w:sz w:val="21"/>
          <w:szCs w:val="21"/>
        </w:rPr>
        <w:t>.</w:t>
      </w:r>
      <w:r w:rsidR="00CA7E29">
        <w:rPr>
          <w:rFonts w:cs="Arial"/>
          <w:sz w:val="21"/>
          <w:szCs w:val="21"/>
        </w:rPr>
        <w:t xml:space="preserve"> </w:t>
      </w:r>
      <w:r w:rsidRPr="005A182B">
        <w:rPr>
          <w:rFonts w:cs="Arial"/>
          <w:sz w:val="21"/>
          <w:szCs w:val="21"/>
        </w:rPr>
        <w:t>When the property, known by this time as ‘Girrahwheen’, was put up for sale in April 1950, it was described as a “Gentleman’s out-of-town home”. The residence was of weatherboard, “well built” with 5 large rooms and a wide return verandah. Outbuildings included a double garage, laundry, packing sheds and stables</w:t>
      </w:r>
      <w:r w:rsidR="009E515C">
        <w:rPr>
          <w:rFonts w:cs="Arial"/>
          <w:sz w:val="21"/>
          <w:szCs w:val="21"/>
        </w:rPr>
        <w:t xml:space="preserve"> (</w:t>
      </w:r>
      <w:r w:rsidR="009E515C">
        <w:rPr>
          <w:rFonts w:cs="Arial"/>
          <w:i/>
          <w:iCs/>
          <w:sz w:val="21"/>
          <w:szCs w:val="21"/>
        </w:rPr>
        <w:t xml:space="preserve">Age, </w:t>
      </w:r>
      <w:r w:rsidR="009E515C">
        <w:rPr>
          <w:rFonts w:cs="Arial"/>
          <w:sz w:val="21"/>
          <w:szCs w:val="21"/>
        </w:rPr>
        <w:t>22 April 1</w:t>
      </w:r>
      <w:r w:rsidR="006355F1">
        <w:rPr>
          <w:rFonts w:cs="Arial"/>
          <w:sz w:val="21"/>
          <w:szCs w:val="21"/>
        </w:rPr>
        <w:t>950: 23)</w:t>
      </w:r>
      <w:r w:rsidRPr="005A182B">
        <w:rPr>
          <w:rFonts w:cs="Arial"/>
          <w:sz w:val="21"/>
          <w:szCs w:val="21"/>
        </w:rPr>
        <w:t>. Following the sale of the property, there was a clearing sale of furniture and farm implements at ‘Girrahwheen’ in May 1950</w:t>
      </w:r>
      <w:r w:rsidR="006355F1">
        <w:rPr>
          <w:rFonts w:cs="Arial"/>
          <w:sz w:val="21"/>
          <w:szCs w:val="21"/>
        </w:rPr>
        <w:t xml:space="preserve"> (</w:t>
      </w:r>
      <w:r w:rsidR="006355F1">
        <w:rPr>
          <w:rFonts w:cs="Arial"/>
          <w:i/>
          <w:iCs/>
          <w:sz w:val="21"/>
          <w:szCs w:val="21"/>
        </w:rPr>
        <w:t xml:space="preserve">Argus, </w:t>
      </w:r>
      <w:r w:rsidR="006355F1">
        <w:rPr>
          <w:rFonts w:cs="Arial"/>
          <w:sz w:val="21"/>
          <w:szCs w:val="21"/>
        </w:rPr>
        <w:t>23 May 1950: 11)</w:t>
      </w:r>
      <w:r w:rsidRPr="005A182B">
        <w:rPr>
          <w:rFonts w:cs="Arial"/>
          <w:sz w:val="21"/>
          <w:szCs w:val="21"/>
        </w:rPr>
        <w:t>.</w:t>
      </w:r>
    </w:p>
    <w:p w14:paraId="41126DF2" w14:textId="1D558D36" w:rsidR="00D153A4" w:rsidRDefault="00D153A4" w:rsidP="00B64107">
      <w:pPr>
        <w:rPr>
          <w:rFonts w:cs="Arial"/>
          <w:sz w:val="21"/>
          <w:szCs w:val="21"/>
        </w:rPr>
      </w:pPr>
    </w:p>
    <w:p w14:paraId="31DD84A5" w14:textId="1071172B" w:rsidR="00C2080D" w:rsidRDefault="00C2080D" w:rsidP="00B64107">
      <w:pPr>
        <w:rPr>
          <w:rFonts w:cs="Arial"/>
          <w:sz w:val="21"/>
          <w:szCs w:val="21"/>
        </w:rPr>
      </w:pPr>
      <w:r w:rsidRPr="00C2080D">
        <w:rPr>
          <w:rFonts w:cs="Arial"/>
          <w:sz w:val="21"/>
          <w:szCs w:val="21"/>
        </w:rPr>
        <w:lastRenderedPageBreak/>
        <w:t>Charles James Fox Peckover of ‘Ghirrawheen’ [sic] Diamond Creek, radio announcer, became the owner in 1950. The block was subdivided into 5 lots in 1953. The subject house was on the westernmost t7.5-acrs Lot 1 of this subdivision</w:t>
      </w:r>
      <w:r w:rsidR="00307E71">
        <w:rPr>
          <w:rFonts w:cs="Arial"/>
          <w:sz w:val="21"/>
          <w:szCs w:val="21"/>
        </w:rPr>
        <w:t xml:space="preserve"> (</w:t>
      </w:r>
      <w:r w:rsidR="003B1812">
        <w:rPr>
          <w:rFonts w:cs="Arial"/>
          <w:sz w:val="21"/>
          <w:szCs w:val="21"/>
        </w:rPr>
        <w:t xml:space="preserve">CT: </w:t>
      </w:r>
      <w:r w:rsidR="003B1812" w:rsidRPr="001511E7">
        <w:rPr>
          <w:rFonts w:cs="Arial"/>
          <w:sz w:val="21"/>
          <w:szCs w:val="21"/>
        </w:rPr>
        <w:t>V2094 F772</w:t>
      </w:r>
      <w:r w:rsidR="003B1812">
        <w:rPr>
          <w:rFonts w:cs="Arial"/>
          <w:sz w:val="21"/>
          <w:szCs w:val="21"/>
        </w:rPr>
        <w:t>)</w:t>
      </w:r>
      <w:r w:rsidRPr="00C2080D">
        <w:rPr>
          <w:rFonts w:cs="Arial"/>
          <w:sz w:val="21"/>
          <w:szCs w:val="21"/>
        </w:rPr>
        <w:t>.</w:t>
      </w:r>
    </w:p>
    <w:p w14:paraId="72E19915" w14:textId="312C488F" w:rsidR="00654D42" w:rsidRPr="001511E7" w:rsidRDefault="00654D42" w:rsidP="00671CE0">
      <w:pPr>
        <w:rPr>
          <w:rFonts w:cs="Arial"/>
          <w:b/>
          <w:bCs/>
          <w:sz w:val="21"/>
          <w:szCs w:val="21"/>
        </w:rPr>
      </w:pPr>
    </w:p>
    <w:p w14:paraId="407B9124" w14:textId="77777777" w:rsidR="00BE4B2E" w:rsidRPr="00BE4B2E" w:rsidRDefault="00BE4B2E" w:rsidP="0053253F">
      <w:pPr>
        <w:rPr>
          <w:rFonts w:cs="Arial"/>
          <w:sz w:val="21"/>
          <w:szCs w:val="21"/>
        </w:rPr>
      </w:pPr>
    </w:p>
    <w:p w14:paraId="3DC75B64" w14:textId="77777777" w:rsidR="00955B5A" w:rsidRDefault="00F0333B" w:rsidP="0053253F">
      <w:pPr>
        <w:rPr>
          <w:rFonts w:cs="Arial"/>
          <w:b/>
          <w:sz w:val="21"/>
          <w:szCs w:val="21"/>
        </w:rPr>
      </w:pPr>
      <w:r w:rsidRPr="00533CF2">
        <w:rPr>
          <w:rFonts w:cs="Arial"/>
          <w:b/>
          <w:sz w:val="21"/>
          <w:szCs w:val="21"/>
        </w:rPr>
        <w:t>Description &amp; Integrity</w:t>
      </w:r>
    </w:p>
    <w:p w14:paraId="2409ED43" w14:textId="6A9B4415" w:rsidR="004B3D4D" w:rsidRDefault="004B3D4D" w:rsidP="0053253F">
      <w:pPr>
        <w:rPr>
          <w:rFonts w:cs="Arial"/>
          <w:sz w:val="21"/>
          <w:szCs w:val="21"/>
        </w:rPr>
      </w:pPr>
    </w:p>
    <w:p w14:paraId="010A3FE5" w14:textId="77777777" w:rsidR="00C42A36" w:rsidRPr="00C42A36" w:rsidRDefault="00C42A36" w:rsidP="00C42A36">
      <w:pPr>
        <w:rPr>
          <w:rFonts w:cs="Arial"/>
          <w:sz w:val="21"/>
          <w:szCs w:val="21"/>
        </w:rPr>
      </w:pPr>
      <w:r w:rsidRPr="00C42A36">
        <w:rPr>
          <w:rFonts w:cs="Arial"/>
          <w:sz w:val="21"/>
          <w:szCs w:val="21"/>
        </w:rPr>
        <w:t>The farm house is located on the south west corner of a large vegetated site. The house is a large 1920s weatherboard bungalow with a large main hipped roof with a gable to the front end facing the road. The roof is clad in corrugated galvanised iron painted red. There is a wide front verandah, which returns on one side.</w:t>
      </w:r>
    </w:p>
    <w:p w14:paraId="0141E2A7" w14:textId="77777777" w:rsidR="00C42A36" w:rsidRPr="00C42A36" w:rsidRDefault="00C42A36" w:rsidP="00C42A36">
      <w:pPr>
        <w:rPr>
          <w:rFonts w:cs="Arial"/>
          <w:sz w:val="21"/>
          <w:szCs w:val="21"/>
        </w:rPr>
      </w:pPr>
    </w:p>
    <w:p w14:paraId="57A0C575" w14:textId="77777777" w:rsidR="00C42A36" w:rsidRPr="00C42A36" w:rsidRDefault="00C42A36" w:rsidP="00C42A36">
      <w:pPr>
        <w:rPr>
          <w:rFonts w:cs="Arial"/>
          <w:sz w:val="21"/>
          <w:szCs w:val="21"/>
        </w:rPr>
      </w:pPr>
      <w:r w:rsidRPr="00C42A36">
        <w:rPr>
          <w:rFonts w:cs="Arial"/>
          <w:sz w:val="21"/>
          <w:szCs w:val="21"/>
        </w:rPr>
        <w:t>There are outbuildings directly to the rear of the residence and further back on the site. These may date from the 1920s and 30s when the property was in use as a successful orchard.</w:t>
      </w:r>
    </w:p>
    <w:p w14:paraId="4DC405F6" w14:textId="77777777" w:rsidR="00C42A36" w:rsidRPr="00C42A36" w:rsidRDefault="00C42A36" w:rsidP="00C42A36">
      <w:pPr>
        <w:rPr>
          <w:rFonts w:cs="Arial"/>
          <w:sz w:val="21"/>
          <w:szCs w:val="21"/>
        </w:rPr>
      </w:pPr>
    </w:p>
    <w:p w14:paraId="5EA4D53B" w14:textId="74258189" w:rsidR="0097558C" w:rsidRDefault="00C42A36" w:rsidP="00C42A36">
      <w:pPr>
        <w:rPr>
          <w:rFonts w:cs="Arial"/>
          <w:sz w:val="21"/>
          <w:szCs w:val="21"/>
        </w:rPr>
      </w:pPr>
      <w:r w:rsidRPr="00C42A36">
        <w:rPr>
          <w:rFonts w:cs="Arial"/>
          <w:sz w:val="21"/>
          <w:szCs w:val="21"/>
        </w:rPr>
        <w:t>When ‘Girrahwheen’ was put up for sale in April 1950, it was described as a “Gentleman’s out- of-town home”. The residence was of weatherboard, “well built” with 5 large rooms and a wide return verandah. Outbuildings included a double garage, laundry, packing sheds and stables.</w:t>
      </w:r>
    </w:p>
    <w:p w14:paraId="6029CE37" w14:textId="77777777" w:rsidR="006E17E9" w:rsidRDefault="006E17E9" w:rsidP="0053253F">
      <w:pPr>
        <w:rPr>
          <w:rFonts w:cs="Arial"/>
          <w:sz w:val="21"/>
          <w:szCs w:val="21"/>
        </w:rPr>
      </w:pPr>
    </w:p>
    <w:p w14:paraId="2BDFE654" w14:textId="77777777" w:rsidR="00104F1F" w:rsidRDefault="00F0333B" w:rsidP="007D3802">
      <w:pPr>
        <w:rPr>
          <w:rFonts w:cs="Arial"/>
          <w:b/>
          <w:sz w:val="21"/>
          <w:szCs w:val="21"/>
        </w:rPr>
      </w:pPr>
      <w:r w:rsidRPr="00533CF2">
        <w:rPr>
          <w:rFonts w:cs="Arial"/>
          <w:b/>
          <w:sz w:val="21"/>
          <w:szCs w:val="21"/>
        </w:rPr>
        <w:t>Comparative Analysis</w:t>
      </w:r>
    </w:p>
    <w:p w14:paraId="1A33BD4A" w14:textId="137B04CC" w:rsidR="0063627A" w:rsidRDefault="0063627A" w:rsidP="0053253F">
      <w:pPr>
        <w:rPr>
          <w:rFonts w:cs="Arial"/>
          <w:sz w:val="21"/>
          <w:szCs w:val="21"/>
        </w:rPr>
      </w:pPr>
    </w:p>
    <w:p w14:paraId="474EB755" w14:textId="77777777" w:rsidR="007E34C5" w:rsidRPr="007035E6" w:rsidRDefault="007E34C5" w:rsidP="007E34C5">
      <w:pPr>
        <w:rPr>
          <w:rFonts w:cs="Arial"/>
          <w:b/>
          <w:bCs/>
          <w:sz w:val="21"/>
          <w:szCs w:val="21"/>
        </w:rPr>
      </w:pPr>
      <w:r w:rsidRPr="007035E6">
        <w:rPr>
          <w:rFonts w:cs="Arial"/>
          <w:b/>
          <w:bCs/>
          <w:sz w:val="21"/>
          <w:szCs w:val="21"/>
        </w:rPr>
        <w:t>Other orchard properties in Diamond Creek:</w:t>
      </w:r>
    </w:p>
    <w:p w14:paraId="31DC1730" w14:textId="1639A954" w:rsidR="007E34C5" w:rsidRDefault="007E34C5" w:rsidP="007E34C5">
      <w:pPr>
        <w:rPr>
          <w:rFonts w:cs="Arial"/>
          <w:sz w:val="21"/>
          <w:szCs w:val="21"/>
        </w:rPr>
      </w:pPr>
      <w:r w:rsidRPr="007E34C5">
        <w:rPr>
          <w:rFonts w:cs="Arial"/>
          <w:sz w:val="21"/>
          <w:szCs w:val="21"/>
        </w:rPr>
        <w:t>Larch Hill Farm, 2 Hillmartin Lane (recommended for the Heritage Overlay)</w:t>
      </w:r>
      <w:r w:rsidR="00D47A5A" w:rsidRPr="001D28D9">
        <w:rPr>
          <w:rFonts w:cs="Arial"/>
          <w:sz w:val="21"/>
          <w:szCs w:val="21"/>
        </w:rPr>
        <w:t xml:space="preserve"> is historically significant for the grand 1920s bungalow residence constructed as a comfortable retirement home</w:t>
      </w:r>
      <w:r w:rsidR="00D47A5A">
        <w:rPr>
          <w:rFonts w:cs="Arial"/>
          <w:sz w:val="21"/>
          <w:szCs w:val="21"/>
        </w:rPr>
        <w:t xml:space="preserve"> and a large orchard site</w:t>
      </w:r>
      <w:r w:rsidR="00D47A5A" w:rsidRPr="001D28D9">
        <w:rPr>
          <w:rFonts w:cs="Arial"/>
          <w:sz w:val="21"/>
          <w:szCs w:val="21"/>
        </w:rPr>
        <w:t xml:space="preserve">. The property also has associations with the orcharding industry in the area. The property is significant as a rare intact example of a grand country residence constructed in the inter-war period. Such grand houses of the period, constructed for wealthy owners, are rare in the </w:t>
      </w:r>
      <w:r w:rsidR="00D47A5A">
        <w:rPr>
          <w:rFonts w:cs="Arial"/>
          <w:sz w:val="21"/>
          <w:szCs w:val="21"/>
        </w:rPr>
        <w:t xml:space="preserve">Nillumbik </w:t>
      </w:r>
      <w:r w:rsidR="00D47A5A" w:rsidRPr="001D28D9">
        <w:rPr>
          <w:rFonts w:cs="Arial"/>
          <w:sz w:val="21"/>
          <w:szCs w:val="21"/>
        </w:rPr>
        <w:t>Shire.</w:t>
      </w:r>
    </w:p>
    <w:p w14:paraId="4455227F" w14:textId="77777777" w:rsidR="007035E6" w:rsidRPr="007E34C5" w:rsidRDefault="007035E6" w:rsidP="007E34C5">
      <w:pPr>
        <w:rPr>
          <w:rFonts w:cs="Arial"/>
          <w:sz w:val="21"/>
          <w:szCs w:val="21"/>
        </w:rPr>
      </w:pPr>
    </w:p>
    <w:p w14:paraId="63726813" w14:textId="4EB57BEB" w:rsidR="007E34C5" w:rsidRPr="0025740D" w:rsidRDefault="007E34C5" w:rsidP="0025740D">
      <w:pPr>
        <w:pStyle w:val="BodyText"/>
        <w:jc w:val="both"/>
        <w:rPr>
          <w:sz w:val="21"/>
          <w:szCs w:val="21"/>
        </w:rPr>
      </w:pPr>
      <w:r w:rsidRPr="0025740D">
        <w:rPr>
          <w:sz w:val="21"/>
          <w:szCs w:val="21"/>
        </w:rPr>
        <w:t>HO166 Trenowin House, 83 Lambert Street, Diamond Creek is</w:t>
      </w:r>
      <w:r w:rsidR="009C24B2" w:rsidRPr="0025740D">
        <w:rPr>
          <w:sz w:val="21"/>
          <w:szCs w:val="21"/>
        </w:rPr>
        <w:t xml:space="preserve"> an orchard site established by the first wave of orchardists in the </w:t>
      </w:r>
      <w:r w:rsidR="004066EF" w:rsidRPr="0025740D">
        <w:rPr>
          <w:sz w:val="21"/>
          <w:szCs w:val="21"/>
        </w:rPr>
        <w:t>Nillumbik</w:t>
      </w:r>
      <w:r w:rsidR="009C24B2" w:rsidRPr="0025740D">
        <w:rPr>
          <w:sz w:val="21"/>
          <w:szCs w:val="21"/>
        </w:rPr>
        <w:t xml:space="preserve"> Shire. </w:t>
      </w:r>
      <w:r w:rsidR="00D902F6" w:rsidRPr="0025740D">
        <w:rPr>
          <w:sz w:val="21"/>
          <w:szCs w:val="21"/>
        </w:rPr>
        <w:t>The house is historically and aesthetically significant as a good and early representation of an orchard house within the Shire</w:t>
      </w:r>
      <w:r w:rsidR="00E064BE" w:rsidRPr="0025740D">
        <w:rPr>
          <w:sz w:val="21"/>
          <w:szCs w:val="21"/>
        </w:rPr>
        <w:t>, as</w:t>
      </w:r>
      <w:r w:rsidR="00D902F6" w:rsidRPr="0025740D">
        <w:rPr>
          <w:sz w:val="21"/>
          <w:szCs w:val="21"/>
        </w:rPr>
        <w:t xml:space="preserve"> it is situated within a well preserved farm setting </w:t>
      </w:r>
      <w:r w:rsidR="00E064BE" w:rsidRPr="0025740D">
        <w:rPr>
          <w:sz w:val="21"/>
          <w:szCs w:val="21"/>
        </w:rPr>
        <w:t>and</w:t>
      </w:r>
      <w:r w:rsidR="00D902F6" w:rsidRPr="0025740D">
        <w:rPr>
          <w:sz w:val="21"/>
          <w:szCs w:val="21"/>
        </w:rPr>
        <w:t xml:space="preserve"> serves as a reminder of the importance of agriculture to the early growth of the Shire</w:t>
      </w:r>
      <w:r w:rsidR="00E064BE" w:rsidRPr="0025740D">
        <w:rPr>
          <w:sz w:val="21"/>
          <w:szCs w:val="21"/>
        </w:rPr>
        <w:t xml:space="preserve">. </w:t>
      </w:r>
      <w:r w:rsidR="009C24B2" w:rsidRPr="0025740D">
        <w:rPr>
          <w:sz w:val="21"/>
          <w:szCs w:val="21"/>
        </w:rPr>
        <w:t>It</w:t>
      </w:r>
      <w:r w:rsidRPr="0025740D">
        <w:rPr>
          <w:sz w:val="21"/>
          <w:szCs w:val="21"/>
        </w:rPr>
        <w:t xml:space="preserve"> </w:t>
      </w:r>
      <w:r w:rsidR="004066EF" w:rsidRPr="0025740D">
        <w:rPr>
          <w:sz w:val="21"/>
          <w:szCs w:val="21"/>
        </w:rPr>
        <w:t>is only</w:t>
      </w:r>
      <w:r w:rsidRPr="0025740D">
        <w:rPr>
          <w:sz w:val="21"/>
          <w:szCs w:val="21"/>
        </w:rPr>
        <w:t xml:space="preserve"> other orchard of this scale or recognition in Diamond Creek </w:t>
      </w:r>
    </w:p>
    <w:p w14:paraId="370F805D" w14:textId="57CB3276" w:rsidR="007E34C5" w:rsidRDefault="007E34C5" w:rsidP="007E34C5">
      <w:pPr>
        <w:rPr>
          <w:rFonts w:cs="Arial"/>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2C689A" w14:paraId="23C03F16" w14:textId="77777777" w:rsidTr="0025740D">
        <w:tc>
          <w:tcPr>
            <w:tcW w:w="8296" w:type="dxa"/>
          </w:tcPr>
          <w:p w14:paraId="0F9E6827" w14:textId="77777777" w:rsidR="009C24B2" w:rsidRDefault="009C24B2" w:rsidP="007E34C5">
            <w:pPr>
              <w:rPr>
                <w:noProof/>
              </w:rPr>
            </w:pPr>
          </w:p>
          <w:p w14:paraId="56AC1C23" w14:textId="7F2D8042" w:rsidR="002C689A" w:rsidRDefault="009C24B2" w:rsidP="007E34C5">
            <w:pPr>
              <w:rPr>
                <w:rFonts w:cs="Arial"/>
                <w:sz w:val="21"/>
                <w:szCs w:val="21"/>
              </w:rPr>
            </w:pPr>
            <w:r>
              <w:rPr>
                <w:noProof/>
                <w:lang w:eastAsia="en-AU"/>
              </w:rPr>
              <w:drawing>
                <wp:inline distT="0" distB="0" distL="0" distR="0" wp14:anchorId="175CEFAD" wp14:editId="0F75619C">
                  <wp:extent cx="4920150" cy="2181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695" t="20227" r="23609" b="28916"/>
                          <a:stretch/>
                        </pic:blipFill>
                        <pic:spPr bwMode="auto">
                          <a:xfrm>
                            <a:off x="0" y="0"/>
                            <a:ext cx="4927457" cy="2184464"/>
                          </a:xfrm>
                          <a:prstGeom prst="rect">
                            <a:avLst/>
                          </a:prstGeom>
                          <a:ln>
                            <a:noFill/>
                          </a:ln>
                          <a:extLst>
                            <a:ext uri="{53640926-AAD7-44D8-BBD7-CCE9431645EC}">
                              <a14:shadowObscured xmlns:a14="http://schemas.microsoft.com/office/drawing/2010/main"/>
                            </a:ext>
                          </a:extLst>
                        </pic:spPr>
                      </pic:pic>
                    </a:graphicData>
                  </a:graphic>
                </wp:inline>
              </w:drawing>
            </w:r>
          </w:p>
        </w:tc>
      </w:tr>
      <w:tr w:rsidR="002C689A" w14:paraId="54450459" w14:textId="77777777" w:rsidTr="0025740D">
        <w:tc>
          <w:tcPr>
            <w:tcW w:w="8296" w:type="dxa"/>
          </w:tcPr>
          <w:p w14:paraId="2140F6B3" w14:textId="68D62408" w:rsidR="002C689A" w:rsidRDefault="00C03191" w:rsidP="0025740D">
            <w:pPr>
              <w:pStyle w:val="Caption"/>
              <w:ind w:left="0"/>
              <w:rPr>
                <w:sz w:val="21"/>
                <w:szCs w:val="21"/>
              </w:rPr>
            </w:pPr>
            <w:r>
              <w:t xml:space="preserve">Figure </w:t>
            </w:r>
            <w:r w:rsidR="004844A3">
              <w:fldChar w:fldCharType="begin"/>
            </w:r>
            <w:r w:rsidR="004844A3">
              <w:instrText xml:space="preserve"> SEQ Figure \* ARABIC </w:instrText>
            </w:r>
            <w:r w:rsidR="004844A3">
              <w:fldChar w:fldCharType="separate"/>
            </w:r>
            <w:r>
              <w:rPr>
                <w:noProof/>
              </w:rPr>
              <w:t>1</w:t>
            </w:r>
            <w:r w:rsidR="004844A3">
              <w:rPr>
                <w:noProof/>
              </w:rPr>
              <w:fldChar w:fldCharType="end"/>
            </w:r>
            <w:r>
              <w:t xml:space="preserve">: </w:t>
            </w:r>
            <w:r w:rsidR="007A149A">
              <w:rPr>
                <w:sz w:val="21"/>
                <w:szCs w:val="21"/>
              </w:rPr>
              <w:t xml:space="preserve">Image dated c2022 showing </w:t>
            </w:r>
            <w:r w:rsidR="009C24B2">
              <w:rPr>
                <w:sz w:val="21"/>
                <w:szCs w:val="21"/>
              </w:rPr>
              <w:t xml:space="preserve">the front elevation of Trenowen House. </w:t>
            </w:r>
            <w:r w:rsidR="007A149A">
              <w:rPr>
                <w:sz w:val="21"/>
                <w:szCs w:val="21"/>
              </w:rPr>
              <w:t>Source: realestate.com.au</w:t>
            </w:r>
          </w:p>
        </w:tc>
      </w:tr>
    </w:tbl>
    <w:p w14:paraId="68BC32FE" w14:textId="77777777" w:rsidR="007E34C5" w:rsidRDefault="007E34C5" w:rsidP="007E34C5">
      <w:pPr>
        <w:rPr>
          <w:rFonts w:cs="Arial"/>
          <w:sz w:val="21"/>
          <w:szCs w:val="21"/>
        </w:rPr>
      </w:pPr>
      <w:r w:rsidRPr="007E34C5">
        <w:rPr>
          <w:rFonts w:cs="Arial"/>
          <w:sz w:val="21"/>
          <w:szCs w:val="21"/>
        </w:rPr>
        <w:lastRenderedPageBreak/>
        <w:t>Other successful orchard properties in the Shire from the second wave of orchardists and included in the Heritage Overlay are as follows:</w:t>
      </w:r>
    </w:p>
    <w:p w14:paraId="0D3638FE" w14:textId="77777777" w:rsidR="007035E6" w:rsidRPr="007E34C5" w:rsidRDefault="007035E6" w:rsidP="007E34C5">
      <w:pPr>
        <w:rPr>
          <w:rFonts w:cs="Arial"/>
          <w:sz w:val="21"/>
          <w:szCs w:val="21"/>
        </w:rPr>
      </w:pPr>
    </w:p>
    <w:p w14:paraId="16FD37DB" w14:textId="7729E99A" w:rsidR="007E34C5" w:rsidRPr="0025740D" w:rsidRDefault="007E34C5" w:rsidP="007E34C5">
      <w:pPr>
        <w:rPr>
          <w:rFonts w:cs="Arial"/>
          <w:sz w:val="21"/>
          <w:szCs w:val="21"/>
        </w:rPr>
      </w:pPr>
      <w:r w:rsidRPr="0025740D">
        <w:rPr>
          <w:rFonts w:cs="Arial"/>
          <w:sz w:val="21"/>
          <w:szCs w:val="21"/>
        </w:rPr>
        <w:t>HO29 Californian Bungalow, 830 Cottlesbridge-Strathewen Road, Arthurs Creek. The Apted family have operated their orchard at Arthurs Creek for over a century.</w:t>
      </w:r>
      <w:r w:rsidR="00060349" w:rsidRPr="0025740D">
        <w:rPr>
          <w:rFonts w:cs="Arial"/>
          <w:sz w:val="21"/>
          <w:szCs w:val="21"/>
        </w:rPr>
        <w:t xml:space="preserve"> </w:t>
      </w:r>
      <w:r w:rsidR="00060349" w:rsidRPr="0025740D">
        <w:rPr>
          <w:rFonts w:cs="Arial"/>
          <w:spacing w:val="2"/>
          <w:sz w:val="21"/>
          <w:szCs w:val="21"/>
          <w:shd w:val="clear" w:color="auto" w:fill="FFFFFF"/>
        </w:rPr>
        <w:t>The orchard was, in 1916, the largest in southern Victoria and is a reminder of the importance of orcharding in the former Shire of Eltham. The Californian bungalow is historically significant as a rare surviving example of its type in the Shire.</w:t>
      </w:r>
    </w:p>
    <w:p w14:paraId="0B549086" w14:textId="77777777" w:rsidR="007E34C5" w:rsidRPr="007E34C5" w:rsidRDefault="007E34C5" w:rsidP="007E34C5">
      <w:pPr>
        <w:rPr>
          <w:rFonts w:cs="Arial"/>
          <w:sz w:val="21"/>
          <w:szCs w:val="21"/>
        </w:rPr>
      </w:pPr>
    </w:p>
    <w:p w14:paraId="25175ACE" w14:textId="46390E7D" w:rsidR="006E17E9" w:rsidRDefault="007E34C5" w:rsidP="007E34C5">
      <w:pPr>
        <w:rPr>
          <w:rFonts w:cs="Arial"/>
          <w:sz w:val="21"/>
          <w:szCs w:val="21"/>
        </w:rPr>
      </w:pPr>
      <w:r w:rsidRPr="007E34C5">
        <w:rPr>
          <w:rFonts w:cs="Arial"/>
          <w:sz w:val="21"/>
          <w:szCs w:val="21"/>
        </w:rPr>
        <w:t>The property at 349-361 Diamond Creek Road is distinguished from the above examples by the scale of the farmhouse and the retention of a number of outbuildings. The site is also associated with a prominent orchardist in the Shire, Robert Mitchell Finlay who obtained a high level of success and participated in promoting and bettering the fruit industry in the area. The significance lies in Finlay as representing the second generation, more modern, fruit growers of the district. The house dating 1926-28 was built during Finlay’s ascendancy in this field.</w:t>
      </w:r>
    </w:p>
    <w:p w14:paraId="06E064F2" w14:textId="77777777" w:rsidR="007035E6" w:rsidRDefault="007035E6" w:rsidP="007E34C5">
      <w:pPr>
        <w:rPr>
          <w:rFonts w:cs="Arial"/>
          <w:sz w:val="21"/>
          <w:szCs w:val="21"/>
        </w:rPr>
      </w:pPr>
    </w:p>
    <w:p w14:paraId="6A3C27E6" w14:textId="77777777" w:rsidR="007035E6" w:rsidRDefault="007035E6" w:rsidP="007E34C5">
      <w:pPr>
        <w:rPr>
          <w:rFonts w:cs="Arial"/>
          <w:sz w:val="21"/>
          <w:szCs w:val="21"/>
        </w:rPr>
      </w:pPr>
    </w:p>
    <w:p w14:paraId="4DF17408" w14:textId="77777777" w:rsidR="00F0333B" w:rsidRPr="00533CF2" w:rsidRDefault="00F0333B" w:rsidP="0053253F">
      <w:pPr>
        <w:rPr>
          <w:rFonts w:cs="Arial"/>
          <w:b/>
          <w:sz w:val="21"/>
          <w:szCs w:val="21"/>
        </w:rPr>
      </w:pPr>
      <w:r w:rsidRPr="00533CF2">
        <w:rPr>
          <w:rFonts w:cs="Arial"/>
          <w:b/>
          <w:sz w:val="21"/>
          <w:szCs w:val="21"/>
        </w:rPr>
        <w:t>Assessment Against Criteria</w:t>
      </w:r>
    </w:p>
    <w:p w14:paraId="42FD40EE" w14:textId="77777777" w:rsidR="001D6FC0" w:rsidRPr="00533CF2" w:rsidRDefault="001D6FC0" w:rsidP="0053253F">
      <w:pPr>
        <w:rPr>
          <w:rFonts w:cs="Arial"/>
          <w:sz w:val="21"/>
          <w:szCs w:val="21"/>
        </w:rPr>
      </w:pPr>
    </w:p>
    <w:p w14:paraId="08B0C521" w14:textId="77777777" w:rsidR="00F0333B" w:rsidRPr="00533CF2" w:rsidRDefault="00E82BC1" w:rsidP="0053253F">
      <w:pPr>
        <w:rPr>
          <w:rFonts w:cs="Arial"/>
          <w:sz w:val="21"/>
          <w:szCs w:val="21"/>
        </w:rPr>
      </w:pPr>
      <w:r w:rsidRPr="00533CF2">
        <w:rPr>
          <w:rFonts w:cs="Arial"/>
          <w:sz w:val="21"/>
          <w:szCs w:val="21"/>
        </w:rPr>
        <w:t>C</w:t>
      </w:r>
      <w:r w:rsidR="003511D4" w:rsidRPr="00533CF2">
        <w:rPr>
          <w:rFonts w:cs="Arial"/>
          <w:sz w:val="21"/>
          <w:szCs w:val="21"/>
        </w:rPr>
        <w:t xml:space="preserve">riteria </w:t>
      </w:r>
      <w:r w:rsidR="00890C5B" w:rsidRPr="00533CF2">
        <w:rPr>
          <w:rFonts w:cs="Arial"/>
          <w:sz w:val="21"/>
          <w:szCs w:val="21"/>
        </w:rPr>
        <w:t xml:space="preserve">referred to in </w:t>
      </w:r>
      <w:r w:rsidR="00890C5B" w:rsidRPr="00533CF2">
        <w:rPr>
          <w:rFonts w:cs="Arial"/>
          <w:i/>
          <w:sz w:val="21"/>
          <w:szCs w:val="21"/>
        </w:rPr>
        <w:t xml:space="preserve">Practice Note 1: Applying the Heritage Overlay, </w:t>
      </w:r>
      <w:r w:rsidR="00890C5B" w:rsidRPr="00533CF2">
        <w:rPr>
          <w:rFonts w:cs="Arial"/>
          <w:sz w:val="21"/>
          <w:szCs w:val="21"/>
        </w:rPr>
        <w:t>Department of Planning and Community Development</w:t>
      </w:r>
      <w:r w:rsidR="003F57F8" w:rsidRPr="00533CF2">
        <w:rPr>
          <w:rFonts w:cs="Arial"/>
          <w:i/>
          <w:sz w:val="21"/>
          <w:szCs w:val="21"/>
        </w:rPr>
        <w:t xml:space="preserve">, </w:t>
      </w:r>
      <w:r w:rsidR="00465000">
        <w:rPr>
          <w:rFonts w:cs="Arial"/>
          <w:sz w:val="21"/>
          <w:szCs w:val="21"/>
        </w:rPr>
        <w:t>revised July 2015</w:t>
      </w:r>
      <w:r w:rsidR="00DC40F3" w:rsidRPr="00533CF2">
        <w:rPr>
          <w:rFonts w:cs="Arial"/>
          <w:sz w:val="21"/>
          <w:szCs w:val="21"/>
        </w:rPr>
        <w:t>, m</w:t>
      </w:r>
      <w:r w:rsidR="00890C5B" w:rsidRPr="00533CF2">
        <w:rPr>
          <w:rFonts w:cs="Arial"/>
          <w:sz w:val="21"/>
          <w:szCs w:val="21"/>
        </w:rPr>
        <w:t>odified for the local context.</w:t>
      </w:r>
    </w:p>
    <w:p w14:paraId="00872E3A" w14:textId="77777777" w:rsidR="00890C5B" w:rsidRPr="00533CF2" w:rsidRDefault="00890C5B" w:rsidP="0053253F">
      <w:pPr>
        <w:rPr>
          <w:rFonts w:cs="Arial"/>
          <w:sz w:val="21"/>
          <w:szCs w:val="21"/>
        </w:rPr>
      </w:pPr>
    </w:p>
    <w:p w14:paraId="5D051320" w14:textId="77777777" w:rsidR="008E1C33" w:rsidRPr="00533CF2" w:rsidRDefault="008E1C33" w:rsidP="0053253F">
      <w:pPr>
        <w:rPr>
          <w:rFonts w:cs="Arial"/>
          <w:sz w:val="21"/>
          <w:szCs w:val="21"/>
        </w:rPr>
      </w:pPr>
    </w:p>
    <w:p w14:paraId="26BBAB56" w14:textId="4D80C818" w:rsidR="00A443BF" w:rsidRDefault="00A443BF" w:rsidP="3FC870CB">
      <w:pPr>
        <w:rPr>
          <w:rFonts w:cs="Arial"/>
          <w:i/>
          <w:iCs/>
          <w:sz w:val="21"/>
          <w:szCs w:val="21"/>
        </w:rPr>
      </w:pPr>
      <w:r w:rsidRPr="3FC870CB">
        <w:rPr>
          <w:rFonts w:cs="Arial"/>
          <w:i/>
          <w:iCs/>
          <w:sz w:val="21"/>
          <w:szCs w:val="21"/>
        </w:rPr>
        <w:t>CRITERION A: Importa</w:t>
      </w:r>
      <w:r w:rsidR="007A044E" w:rsidRPr="3FC870CB">
        <w:rPr>
          <w:rFonts w:cs="Arial"/>
          <w:i/>
          <w:iCs/>
          <w:sz w:val="21"/>
          <w:szCs w:val="21"/>
        </w:rPr>
        <w:t>nce to the course or pattern</w:t>
      </w:r>
      <w:r w:rsidRPr="3FC870CB">
        <w:rPr>
          <w:rFonts w:cs="Arial"/>
          <w:i/>
          <w:iCs/>
          <w:sz w:val="21"/>
          <w:szCs w:val="21"/>
        </w:rPr>
        <w:t xml:space="preserve"> of </w:t>
      </w:r>
      <w:r w:rsidR="541E0040" w:rsidRPr="3FC870CB">
        <w:rPr>
          <w:rFonts w:cs="Arial"/>
          <w:i/>
          <w:iCs/>
          <w:sz w:val="21"/>
          <w:szCs w:val="21"/>
        </w:rPr>
        <w:t xml:space="preserve">the Shire of </w:t>
      </w:r>
      <w:r w:rsidR="091DFB8C" w:rsidRPr="3FC870CB">
        <w:rPr>
          <w:rFonts w:cs="Arial"/>
          <w:i/>
          <w:iCs/>
          <w:sz w:val="21"/>
          <w:szCs w:val="21"/>
        </w:rPr>
        <w:t>Nillumbik</w:t>
      </w:r>
      <w:r w:rsidR="0A7C8E8E" w:rsidRPr="3FC870CB">
        <w:rPr>
          <w:rFonts w:cs="Arial"/>
          <w:i/>
          <w:iCs/>
          <w:sz w:val="21"/>
          <w:szCs w:val="21"/>
        </w:rPr>
        <w:t>’s</w:t>
      </w:r>
      <w:r w:rsidR="78CE3169" w:rsidRPr="3FC870CB">
        <w:rPr>
          <w:rFonts w:cs="Arial"/>
          <w:i/>
          <w:iCs/>
          <w:sz w:val="21"/>
          <w:szCs w:val="21"/>
        </w:rPr>
        <w:t xml:space="preserve"> </w:t>
      </w:r>
      <w:r w:rsidR="003F57F8" w:rsidRPr="3FC870CB">
        <w:rPr>
          <w:rFonts w:cs="Arial"/>
          <w:i/>
          <w:iCs/>
          <w:sz w:val="21"/>
          <w:szCs w:val="21"/>
        </w:rPr>
        <w:t xml:space="preserve">cultural </w:t>
      </w:r>
      <w:r w:rsidR="00FC7300" w:rsidRPr="3FC870CB">
        <w:rPr>
          <w:rFonts w:cs="Arial"/>
          <w:i/>
          <w:iCs/>
          <w:sz w:val="21"/>
          <w:szCs w:val="21"/>
        </w:rPr>
        <w:t xml:space="preserve">or natural </w:t>
      </w:r>
      <w:r w:rsidR="003F57F8" w:rsidRPr="3FC870CB">
        <w:rPr>
          <w:rFonts w:cs="Arial"/>
          <w:i/>
          <w:iCs/>
          <w:sz w:val="21"/>
          <w:szCs w:val="21"/>
        </w:rPr>
        <w:t>history (historical significance).</w:t>
      </w:r>
    </w:p>
    <w:p w14:paraId="7512D795" w14:textId="4A034002" w:rsidR="00B83A65" w:rsidRDefault="00B83A65" w:rsidP="0053253F">
      <w:pPr>
        <w:rPr>
          <w:rFonts w:cs="Arial"/>
          <w:sz w:val="21"/>
          <w:szCs w:val="21"/>
        </w:rPr>
      </w:pPr>
      <w:r w:rsidRPr="00B83A65">
        <w:rPr>
          <w:rFonts w:cs="Arial"/>
          <w:sz w:val="21"/>
          <w:szCs w:val="21"/>
        </w:rPr>
        <w:t>The property is of historical significance for its demonstration of the successful orchard farming carried out in the area. This property demonstrates the second generation of orchard farmers in the area and the size of the house demonstrates the success of Robert Mitchell Finlay as an orchardist. The house dating 1926-28 was built during Finlay’s ascendancy as a successful orchardist.</w:t>
      </w:r>
    </w:p>
    <w:p w14:paraId="2E8F4EBD" w14:textId="77777777" w:rsidR="00755CEE" w:rsidRPr="00533CF2" w:rsidRDefault="00755CEE" w:rsidP="00104F1F">
      <w:pPr>
        <w:rPr>
          <w:rFonts w:cs="Arial"/>
          <w:sz w:val="21"/>
          <w:szCs w:val="21"/>
        </w:rPr>
      </w:pPr>
    </w:p>
    <w:p w14:paraId="4ACC67E6" w14:textId="16B83C4E" w:rsidR="00A443BF" w:rsidRPr="00533CF2" w:rsidRDefault="00A443BF" w:rsidP="3FC870CB">
      <w:pPr>
        <w:rPr>
          <w:rFonts w:cs="Arial"/>
          <w:i/>
          <w:iCs/>
          <w:sz w:val="21"/>
          <w:szCs w:val="21"/>
        </w:rPr>
      </w:pPr>
      <w:r w:rsidRPr="3FC870CB">
        <w:rPr>
          <w:rFonts w:cs="Arial"/>
          <w:i/>
          <w:iCs/>
          <w:sz w:val="21"/>
          <w:szCs w:val="21"/>
        </w:rPr>
        <w:t>CRITERION B: Possession of uncommon, rare or endangered aspects of</w:t>
      </w:r>
      <w:r w:rsidR="00894C12" w:rsidRPr="3FC870CB">
        <w:rPr>
          <w:rFonts w:cs="Arial"/>
          <w:i/>
          <w:iCs/>
          <w:sz w:val="21"/>
          <w:szCs w:val="21"/>
        </w:rPr>
        <w:t xml:space="preserve"> the</w:t>
      </w:r>
      <w:r w:rsidRPr="3FC870CB">
        <w:rPr>
          <w:rFonts w:cs="Arial"/>
          <w:i/>
          <w:iCs/>
          <w:sz w:val="21"/>
          <w:szCs w:val="21"/>
        </w:rPr>
        <w:t xml:space="preserve"> </w:t>
      </w:r>
      <w:r w:rsidR="6795CD4D" w:rsidRPr="3FC870CB">
        <w:rPr>
          <w:rFonts w:cs="Arial"/>
          <w:i/>
          <w:iCs/>
          <w:sz w:val="21"/>
          <w:szCs w:val="21"/>
        </w:rPr>
        <w:t xml:space="preserve">Shire of Nillumbik’s </w:t>
      </w:r>
      <w:r w:rsidRPr="3FC870CB">
        <w:rPr>
          <w:rFonts w:cs="Arial"/>
          <w:i/>
          <w:iCs/>
          <w:sz w:val="21"/>
          <w:szCs w:val="21"/>
        </w:rPr>
        <w:t xml:space="preserve">cultural </w:t>
      </w:r>
      <w:r w:rsidR="00DC40F3" w:rsidRPr="3FC870CB">
        <w:rPr>
          <w:rFonts w:cs="Arial"/>
          <w:i/>
          <w:iCs/>
          <w:sz w:val="21"/>
          <w:szCs w:val="21"/>
        </w:rPr>
        <w:t xml:space="preserve">or natural </w:t>
      </w:r>
      <w:r w:rsidRPr="3FC870CB">
        <w:rPr>
          <w:rFonts w:cs="Arial"/>
          <w:i/>
          <w:iCs/>
          <w:sz w:val="21"/>
          <w:szCs w:val="21"/>
        </w:rPr>
        <w:t>history</w:t>
      </w:r>
      <w:r w:rsidR="003F57F8" w:rsidRPr="3FC870CB">
        <w:rPr>
          <w:rFonts w:cs="Arial"/>
          <w:i/>
          <w:iCs/>
          <w:sz w:val="21"/>
          <w:szCs w:val="21"/>
        </w:rPr>
        <w:t xml:space="preserve"> (rarity)</w:t>
      </w:r>
      <w:r w:rsidRPr="3FC870CB">
        <w:rPr>
          <w:rFonts w:cs="Arial"/>
          <w:i/>
          <w:iCs/>
          <w:sz w:val="21"/>
          <w:szCs w:val="21"/>
        </w:rPr>
        <w:t>.</w:t>
      </w:r>
    </w:p>
    <w:p w14:paraId="1EBAC816" w14:textId="68EDD4A3" w:rsidR="00A443BF" w:rsidRDefault="006833BD" w:rsidP="0053253F">
      <w:pPr>
        <w:rPr>
          <w:rFonts w:cs="Arial"/>
          <w:sz w:val="21"/>
          <w:szCs w:val="21"/>
        </w:rPr>
      </w:pPr>
      <w:r w:rsidRPr="006833BD">
        <w:rPr>
          <w:rFonts w:cs="Arial"/>
          <w:sz w:val="21"/>
          <w:szCs w:val="21"/>
        </w:rPr>
        <w:t>The outbuildings associated with the orchard use of the property are significant as rare surviving examples of their types – particularly the fruit packing sheds.</w:t>
      </w:r>
    </w:p>
    <w:p w14:paraId="0ECC901F" w14:textId="77777777" w:rsidR="003F57F8" w:rsidRPr="00533CF2" w:rsidRDefault="003F57F8" w:rsidP="0053253F">
      <w:pPr>
        <w:rPr>
          <w:rFonts w:cs="Arial"/>
          <w:i/>
          <w:sz w:val="21"/>
          <w:szCs w:val="21"/>
        </w:rPr>
      </w:pPr>
    </w:p>
    <w:p w14:paraId="58C1B147" w14:textId="5446C079" w:rsidR="00A443BF" w:rsidRPr="00533CF2" w:rsidRDefault="00A443BF" w:rsidP="3FC870CB">
      <w:pPr>
        <w:rPr>
          <w:rFonts w:cs="Arial"/>
          <w:i/>
          <w:iCs/>
          <w:sz w:val="21"/>
          <w:szCs w:val="21"/>
        </w:rPr>
      </w:pPr>
      <w:r w:rsidRPr="3FC870CB">
        <w:rPr>
          <w:rFonts w:cs="Arial"/>
          <w:i/>
          <w:iCs/>
          <w:sz w:val="21"/>
          <w:szCs w:val="21"/>
        </w:rPr>
        <w:t xml:space="preserve">CRITERION C: Potential to yield information that will contribute to an understanding of </w:t>
      </w:r>
      <w:r w:rsidR="00894C12" w:rsidRPr="3FC870CB">
        <w:rPr>
          <w:rFonts w:cs="Arial"/>
          <w:i/>
          <w:iCs/>
          <w:sz w:val="21"/>
          <w:szCs w:val="21"/>
        </w:rPr>
        <w:t xml:space="preserve">the </w:t>
      </w:r>
      <w:r w:rsidR="0EDDFB89" w:rsidRPr="3FC870CB">
        <w:rPr>
          <w:rFonts w:cs="Arial"/>
          <w:i/>
          <w:iCs/>
          <w:sz w:val="21"/>
          <w:szCs w:val="21"/>
        </w:rPr>
        <w:t xml:space="preserve">Shire of Nillumbik’s </w:t>
      </w:r>
      <w:r w:rsidRPr="3FC870CB">
        <w:rPr>
          <w:rFonts w:cs="Arial"/>
          <w:i/>
          <w:iCs/>
          <w:sz w:val="21"/>
          <w:szCs w:val="21"/>
        </w:rPr>
        <w:t>cultural</w:t>
      </w:r>
      <w:r w:rsidR="00FC7300" w:rsidRPr="3FC870CB">
        <w:rPr>
          <w:rFonts w:cs="Arial"/>
          <w:i/>
          <w:iCs/>
          <w:sz w:val="21"/>
          <w:szCs w:val="21"/>
        </w:rPr>
        <w:t xml:space="preserve"> or natural</w:t>
      </w:r>
      <w:r w:rsidRPr="3FC870CB">
        <w:rPr>
          <w:rFonts w:cs="Arial"/>
          <w:i/>
          <w:iCs/>
          <w:sz w:val="21"/>
          <w:szCs w:val="21"/>
        </w:rPr>
        <w:t xml:space="preserve"> history</w:t>
      </w:r>
      <w:r w:rsidR="003F57F8" w:rsidRPr="3FC870CB">
        <w:rPr>
          <w:rFonts w:cs="Arial"/>
          <w:i/>
          <w:iCs/>
          <w:sz w:val="21"/>
          <w:szCs w:val="21"/>
        </w:rPr>
        <w:t xml:space="preserve"> (research potential)</w:t>
      </w:r>
      <w:r w:rsidRPr="3FC870CB">
        <w:rPr>
          <w:rFonts w:cs="Arial"/>
          <w:i/>
          <w:iCs/>
          <w:sz w:val="21"/>
          <w:szCs w:val="21"/>
        </w:rPr>
        <w:t>.</w:t>
      </w:r>
    </w:p>
    <w:p w14:paraId="19BADD97" w14:textId="77777777" w:rsidR="00A443BF" w:rsidRPr="00533CF2" w:rsidRDefault="00A443BF" w:rsidP="0053253F">
      <w:pPr>
        <w:rPr>
          <w:rFonts w:cs="Arial"/>
          <w:sz w:val="21"/>
          <w:szCs w:val="21"/>
        </w:rPr>
      </w:pPr>
    </w:p>
    <w:p w14:paraId="458BE668" w14:textId="77777777" w:rsidR="003F57F8" w:rsidRPr="00533CF2" w:rsidRDefault="003F57F8" w:rsidP="0053253F">
      <w:pPr>
        <w:rPr>
          <w:rFonts w:cs="Arial"/>
          <w:i/>
          <w:sz w:val="21"/>
          <w:szCs w:val="21"/>
        </w:rPr>
      </w:pPr>
    </w:p>
    <w:p w14:paraId="23130411" w14:textId="77777777" w:rsidR="00A443BF" w:rsidRPr="00533CF2" w:rsidRDefault="00A443BF" w:rsidP="0053253F">
      <w:pPr>
        <w:rPr>
          <w:rFonts w:cs="Arial"/>
          <w:i/>
          <w:sz w:val="21"/>
          <w:szCs w:val="21"/>
        </w:rPr>
      </w:pPr>
      <w:r w:rsidRPr="00533CF2">
        <w:rPr>
          <w:rFonts w:cs="Arial"/>
          <w:i/>
          <w:sz w:val="21"/>
          <w:szCs w:val="21"/>
        </w:rPr>
        <w:t xml:space="preserve">CRITERION D: Importance in demonstrating the principal characteristics of a class of cultural </w:t>
      </w:r>
      <w:r w:rsidR="00FC7300">
        <w:rPr>
          <w:rFonts w:cs="Arial"/>
          <w:i/>
          <w:sz w:val="21"/>
          <w:szCs w:val="21"/>
        </w:rPr>
        <w:t xml:space="preserve">or natural </w:t>
      </w:r>
      <w:r w:rsidRPr="00533CF2">
        <w:rPr>
          <w:rFonts w:cs="Arial"/>
          <w:i/>
          <w:sz w:val="21"/>
          <w:szCs w:val="21"/>
        </w:rPr>
        <w:t xml:space="preserve">places </w:t>
      </w:r>
      <w:r w:rsidR="00FC7300">
        <w:rPr>
          <w:rFonts w:cs="Arial"/>
          <w:i/>
          <w:sz w:val="21"/>
          <w:szCs w:val="21"/>
        </w:rPr>
        <w:t>or</w:t>
      </w:r>
      <w:r w:rsidRPr="00533CF2">
        <w:rPr>
          <w:rFonts w:cs="Arial"/>
          <w:i/>
          <w:sz w:val="21"/>
          <w:szCs w:val="21"/>
        </w:rPr>
        <w:t xml:space="preserve"> </w:t>
      </w:r>
      <w:r w:rsidR="00FC7300">
        <w:rPr>
          <w:rFonts w:cs="Arial"/>
          <w:i/>
          <w:sz w:val="21"/>
          <w:szCs w:val="21"/>
        </w:rPr>
        <w:t>environments</w:t>
      </w:r>
      <w:r w:rsidR="003F57F8" w:rsidRPr="00533CF2">
        <w:rPr>
          <w:rFonts w:cs="Arial"/>
          <w:i/>
          <w:sz w:val="21"/>
          <w:szCs w:val="21"/>
        </w:rPr>
        <w:t xml:space="preserve"> (representativeness)</w:t>
      </w:r>
      <w:r w:rsidRPr="00533CF2">
        <w:rPr>
          <w:rFonts w:cs="Arial"/>
          <w:i/>
          <w:sz w:val="21"/>
          <w:szCs w:val="21"/>
        </w:rPr>
        <w:t>.</w:t>
      </w:r>
    </w:p>
    <w:p w14:paraId="2B8FC350" w14:textId="77777777" w:rsidR="0030501C" w:rsidRDefault="0030501C" w:rsidP="0053253F">
      <w:pPr>
        <w:rPr>
          <w:rFonts w:cs="Arial"/>
          <w:sz w:val="21"/>
          <w:szCs w:val="21"/>
          <w:highlight w:val="yellow"/>
        </w:rPr>
      </w:pPr>
    </w:p>
    <w:p w14:paraId="75605924" w14:textId="77777777" w:rsidR="00B17B59" w:rsidRPr="00B17B59" w:rsidRDefault="00B17B59" w:rsidP="0053253F">
      <w:pPr>
        <w:rPr>
          <w:rFonts w:cs="Arial"/>
          <w:sz w:val="21"/>
          <w:szCs w:val="21"/>
        </w:rPr>
      </w:pPr>
    </w:p>
    <w:p w14:paraId="0C48B03E" w14:textId="77777777" w:rsidR="00A443BF" w:rsidRPr="00533CF2" w:rsidRDefault="00A443BF" w:rsidP="0053253F">
      <w:pPr>
        <w:rPr>
          <w:rFonts w:cs="Arial"/>
          <w:i/>
          <w:sz w:val="21"/>
          <w:szCs w:val="21"/>
        </w:rPr>
      </w:pPr>
      <w:r w:rsidRPr="00692627">
        <w:rPr>
          <w:rFonts w:cs="Arial"/>
          <w:i/>
          <w:sz w:val="21"/>
          <w:szCs w:val="21"/>
        </w:rPr>
        <w:t>CRITERION E: Importance in exhibiting particular aesthetic characteristics</w:t>
      </w:r>
      <w:r w:rsidR="003F57F8" w:rsidRPr="00692627">
        <w:rPr>
          <w:rFonts w:cs="Arial"/>
          <w:i/>
          <w:sz w:val="21"/>
          <w:szCs w:val="21"/>
        </w:rPr>
        <w:t xml:space="preserve"> (aesthetic significance)</w:t>
      </w:r>
      <w:r w:rsidRPr="00692627">
        <w:rPr>
          <w:rFonts w:cs="Arial"/>
          <w:i/>
          <w:sz w:val="21"/>
          <w:szCs w:val="21"/>
        </w:rPr>
        <w:t>.</w:t>
      </w:r>
    </w:p>
    <w:p w14:paraId="02CD8DBB" w14:textId="05BA619F" w:rsidR="00A443BF" w:rsidRPr="00533CF2" w:rsidRDefault="008A75D9" w:rsidP="0053253F">
      <w:pPr>
        <w:rPr>
          <w:rFonts w:cs="Arial"/>
          <w:sz w:val="21"/>
          <w:szCs w:val="21"/>
        </w:rPr>
      </w:pPr>
      <w:r w:rsidRPr="008A75D9">
        <w:rPr>
          <w:rFonts w:cs="Arial"/>
          <w:sz w:val="21"/>
          <w:szCs w:val="21"/>
        </w:rPr>
        <w:t>The farmhouse on the property is of aesthetic significance as a large 1920s bungalow with its expansive and dominant main hipped roof and wide return verandah.</w:t>
      </w:r>
    </w:p>
    <w:p w14:paraId="22C2F03D" w14:textId="77777777" w:rsidR="00104F1F" w:rsidRPr="00533CF2" w:rsidRDefault="00104F1F" w:rsidP="0053253F">
      <w:pPr>
        <w:rPr>
          <w:rFonts w:cs="Arial"/>
          <w:i/>
          <w:sz w:val="21"/>
          <w:szCs w:val="21"/>
        </w:rPr>
      </w:pPr>
    </w:p>
    <w:p w14:paraId="2B871B92" w14:textId="77777777" w:rsidR="00A443BF" w:rsidRPr="00533CF2" w:rsidRDefault="00A443BF" w:rsidP="0053253F">
      <w:pPr>
        <w:rPr>
          <w:rFonts w:cs="Arial"/>
          <w:i/>
          <w:sz w:val="21"/>
          <w:szCs w:val="21"/>
        </w:rPr>
      </w:pPr>
      <w:r w:rsidRPr="00533CF2">
        <w:rPr>
          <w:rFonts w:cs="Arial"/>
          <w:i/>
          <w:sz w:val="21"/>
          <w:szCs w:val="21"/>
        </w:rPr>
        <w:t>CRITERION F: Importance in demonstrating a high degree of creative or technical achievement at a particular period</w:t>
      </w:r>
      <w:r w:rsidR="003F57F8" w:rsidRPr="00533CF2">
        <w:rPr>
          <w:rFonts w:cs="Arial"/>
          <w:i/>
          <w:sz w:val="21"/>
          <w:szCs w:val="21"/>
        </w:rPr>
        <w:t xml:space="preserve"> (technical significance)</w:t>
      </w:r>
      <w:r w:rsidRPr="00533CF2">
        <w:rPr>
          <w:rFonts w:cs="Arial"/>
          <w:i/>
          <w:sz w:val="21"/>
          <w:szCs w:val="21"/>
        </w:rPr>
        <w:t>.</w:t>
      </w:r>
    </w:p>
    <w:p w14:paraId="79397E7C" w14:textId="77777777" w:rsidR="00A443BF" w:rsidRPr="00533CF2" w:rsidRDefault="00A443BF" w:rsidP="0053253F">
      <w:pPr>
        <w:rPr>
          <w:rFonts w:cs="Arial"/>
          <w:sz w:val="21"/>
          <w:szCs w:val="21"/>
        </w:rPr>
      </w:pPr>
    </w:p>
    <w:p w14:paraId="48DD0C4E" w14:textId="77777777" w:rsidR="003F57F8" w:rsidRPr="00533CF2" w:rsidRDefault="003F57F8" w:rsidP="0053253F">
      <w:pPr>
        <w:rPr>
          <w:rFonts w:cs="Arial"/>
          <w:i/>
          <w:sz w:val="21"/>
          <w:szCs w:val="21"/>
        </w:rPr>
      </w:pPr>
    </w:p>
    <w:p w14:paraId="632DD5EA" w14:textId="77777777" w:rsidR="00A443BF" w:rsidRPr="00533CF2" w:rsidRDefault="00A443BF" w:rsidP="0053253F">
      <w:pPr>
        <w:rPr>
          <w:rFonts w:cs="Arial"/>
          <w:i/>
          <w:sz w:val="21"/>
          <w:szCs w:val="21"/>
        </w:rPr>
      </w:pPr>
      <w:r w:rsidRPr="00533CF2">
        <w:rPr>
          <w:rFonts w:cs="Arial"/>
          <w:i/>
          <w:sz w:val="21"/>
          <w:szCs w:val="21"/>
        </w:rPr>
        <w:lastRenderedPageBreak/>
        <w:t>CRITERION G: Strong or special association with a particular community or cultural group for social, cultural or spiritual reasons. This includes the significance of a place to Indigenous peoples as part of their continuing and developing cultural traditions</w:t>
      </w:r>
      <w:r w:rsidR="003F57F8" w:rsidRPr="00533CF2">
        <w:rPr>
          <w:rFonts w:cs="Arial"/>
          <w:i/>
          <w:sz w:val="21"/>
          <w:szCs w:val="21"/>
        </w:rPr>
        <w:t xml:space="preserve"> (social significance)</w:t>
      </w:r>
      <w:r w:rsidRPr="00533CF2">
        <w:rPr>
          <w:rFonts w:cs="Arial"/>
          <w:i/>
          <w:sz w:val="21"/>
          <w:szCs w:val="21"/>
        </w:rPr>
        <w:t>.</w:t>
      </w:r>
    </w:p>
    <w:p w14:paraId="294CE67B" w14:textId="50D8E8CC" w:rsidR="00437685" w:rsidRDefault="00437685" w:rsidP="0053253F">
      <w:pPr>
        <w:rPr>
          <w:rFonts w:cs="Arial"/>
          <w:i/>
          <w:sz w:val="21"/>
          <w:szCs w:val="21"/>
        </w:rPr>
      </w:pPr>
    </w:p>
    <w:p w14:paraId="2C67C688" w14:textId="77777777" w:rsidR="006E17E9" w:rsidRPr="00533CF2" w:rsidRDefault="006E17E9" w:rsidP="0053253F">
      <w:pPr>
        <w:rPr>
          <w:rFonts w:cs="Arial"/>
          <w:i/>
          <w:sz w:val="21"/>
          <w:szCs w:val="21"/>
        </w:rPr>
      </w:pPr>
    </w:p>
    <w:p w14:paraId="0632C55E" w14:textId="71BBDAD8" w:rsidR="00A443BF" w:rsidRDefault="00A443BF" w:rsidP="3FC870CB">
      <w:pPr>
        <w:rPr>
          <w:rFonts w:cs="Arial"/>
          <w:i/>
          <w:iCs/>
          <w:sz w:val="21"/>
          <w:szCs w:val="21"/>
        </w:rPr>
      </w:pPr>
      <w:r w:rsidRPr="3FC870CB">
        <w:rPr>
          <w:rFonts w:cs="Arial"/>
          <w:i/>
          <w:iCs/>
          <w:sz w:val="21"/>
          <w:szCs w:val="21"/>
        </w:rPr>
        <w:t xml:space="preserve">CRITERION H: Special association with the life or works of a person, or group of persons, of importance </w:t>
      </w:r>
      <w:r w:rsidR="00FC7300" w:rsidRPr="3FC870CB">
        <w:rPr>
          <w:rFonts w:cs="Arial"/>
          <w:i/>
          <w:iCs/>
          <w:sz w:val="21"/>
          <w:szCs w:val="21"/>
        </w:rPr>
        <w:t xml:space="preserve">in the </w:t>
      </w:r>
      <w:r w:rsidR="220D4FF4" w:rsidRPr="3FC870CB">
        <w:rPr>
          <w:rFonts w:cs="Arial"/>
          <w:i/>
          <w:iCs/>
          <w:sz w:val="21"/>
          <w:szCs w:val="21"/>
        </w:rPr>
        <w:t>Shire of Nillumbik’s</w:t>
      </w:r>
      <w:r w:rsidR="00FC7300" w:rsidRPr="3FC870CB">
        <w:rPr>
          <w:rFonts w:cs="Arial"/>
          <w:i/>
          <w:iCs/>
          <w:sz w:val="21"/>
          <w:szCs w:val="21"/>
        </w:rPr>
        <w:t xml:space="preserve"> history</w:t>
      </w:r>
      <w:r w:rsidR="003F57F8" w:rsidRPr="3FC870CB">
        <w:rPr>
          <w:rFonts w:cs="Arial"/>
          <w:i/>
          <w:iCs/>
          <w:sz w:val="21"/>
          <w:szCs w:val="21"/>
        </w:rPr>
        <w:t xml:space="preserve"> (associative significance)</w:t>
      </w:r>
      <w:r w:rsidRPr="3FC870CB">
        <w:rPr>
          <w:rFonts w:cs="Arial"/>
          <w:i/>
          <w:iCs/>
          <w:sz w:val="21"/>
          <w:szCs w:val="21"/>
        </w:rPr>
        <w:t>.</w:t>
      </w:r>
    </w:p>
    <w:p w14:paraId="38CEB631" w14:textId="77777777" w:rsidR="00FE05A5" w:rsidRDefault="00FE05A5" w:rsidP="0053253F">
      <w:pPr>
        <w:rPr>
          <w:rFonts w:cs="Arial"/>
          <w:sz w:val="21"/>
          <w:szCs w:val="21"/>
        </w:rPr>
      </w:pPr>
    </w:p>
    <w:p w14:paraId="66B73E4A" w14:textId="77777777" w:rsidR="006E17E9" w:rsidRDefault="006E17E9" w:rsidP="0053253F">
      <w:pPr>
        <w:rPr>
          <w:rFonts w:cs="Arial"/>
          <w:b/>
          <w:sz w:val="21"/>
          <w:szCs w:val="21"/>
        </w:rPr>
      </w:pPr>
    </w:p>
    <w:p w14:paraId="3C813A76" w14:textId="77777777" w:rsidR="00F0333B" w:rsidRPr="00533CF2" w:rsidRDefault="00F0333B" w:rsidP="0053253F">
      <w:pPr>
        <w:rPr>
          <w:rFonts w:cs="Arial"/>
          <w:b/>
          <w:sz w:val="21"/>
          <w:szCs w:val="21"/>
        </w:rPr>
      </w:pPr>
      <w:r w:rsidRPr="00533CF2">
        <w:rPr>
          <w:rFonts w:cs="Arial"/>
          <w:b/>
          <w:sz w:val="21"/>
          <w:szCs w:val="21"/>
        </w:rPr>
        <w:t xml:space="preserve">Grading </w:t>
      </w:r>
      <w:r w:rsidR="001517D4" w:rsidRPr="00533CF2">
        <w:rPr>
          <w:rFonts w:cs="Arial"/>
          <w:b/>
          <w:sz w:val="21"/>
          <w:szCs w:val="21"/>
        </w:rPr>
        <w:t xml:space="preserve">and </w:t>
      </w:r>
      <w:r w:rsidRPr="00533CF2">
        <w:rPr>
          <w:rFonts w:cs="Arial"/>
          <w:b/>
          <w:sz w:val="21"/>
          <w:szCs w:val="21"/>
        </w:rPr>
        <w:t>Recommendations</w:t>
      </w:r>
    </w:p>
    <w:p w14:paraId="44AC8773" w14:textId="77777777" w:rsidR="004E6328" w:rsidRPr="00533CF2" w:rsidRDefault="004E6328" w:rsidP="0053253F">
      <w:pPr>
        <w:rPr>
          <w:rFonts w:cs="Arial"/>
          <w:sz w:val="21"/>
          <w:szCs w:val="21"/>
        </w:rPr>
      </w:pPr>
    </w:p>
    <w:p w14:paraId="441E4DE5" w14:textId="77777777" w:rsidR="00E241E5" w:rsidRDefault="006E17E9" w:rsidP="3FC870CB">
      <w:pPr>
        <w:rPr>
          <w:rFonts w:cs="Arial"/>
          <w:sz w:val="21"/>
          <w:szCs w:val="21"/>
        </w:rPr>
      </w:pPr>
      <w:r w:rsidRPr="3FC870CB">
        <w:rPr>
          <w:rFonts w:cs="Arial"/>
          <w:sz w:val="21"/>
          <w:szCs w:val="21"/>
        </w:rPr>
        <w:t>Recommended</w:t>
      </w:r>
      <w:r w:rsidR="00831F05" w:rsidRPr="3FC870CB">
        <w:rPr>
          <w:rFonts w:cs="Arial"/>
          <w:sz w:val="21"/>
          <w:szCs w:val="21"/>
        </w:rPr>
        <w:t xml:space="preserve"> for inclusion in the schedule to the Heritage Overlay of the </w:t>
      </w:r>
      <w:r w:rsidR="07C658F1" w:rsidRPr="3FC870CB">
        <w:rPr>
          <w:rFonts w:cs="Arial"/>
          <w:sz w:val="21"/>
          <w:szCs w:val="21"/>
        </w:rPr>
        <w:t>Nil</w:t>
      </w:r>
      <w:r w:rsidR="00C95C44">
        <w:rPr>
          <w:rFonts w:cs="Arial"/>
          <w:sz w:val="21"/>
          <w:szCs w:val="21"/>
        </w:rPr>
        <w:t>l</w:t>
      </w:r>
      <w:r w:rsidR="07C658F1" w:rsidRPr="3FC870CB">
        <w:rPr>
          <w:rFonts w:cs="Arial"/>
          <w:sz w:val="21"/>
          <w:szCs w:val="21"/>
        </w:rPr>
        <w:t>umbik</w:t>
      </w:r>
      <w:r w:rsidR="00831F05" w:rsidRPr="3FC870CB">
        <w:rPr>
          <w:rFonts w:cs="Arial"/>
          <w:sz w:val="21"/>
          <w:szCs w:val="21"/>
          <w:highlight w:val="yellow"/>
        </w:rPr>
        <w:t xml:space="preserve"> </w:t>
      </w:r>
      <w:r w:rsidR="00831F05" w:rsidRPr="3FC870CB">
        <w:rPr>
          <w:rFonts w:cs="Arial"/>
          <w:sz w:val="21"/>
          <w:szCs w:val="21"/>
        </w:rPr>
        <w:t>Planning Scheme.</w:t>
      </w:r>
    </w:p>
    <w:p w14:paraId="061B18D9" w14:textId="77777777" w:rsidR="005B0DDB" w:rsidRDefault="005B0DDB" w:rsidP="3FC870CB">
      <w:pPr>
        <w:rPr>
          <w:rFonts w:cs="Arial"/>
          <w:sz w:val="21"/>
          <w:szCs w:val="21"/>
        </w:rPr>
      </w:pPr>
    </w:p>
    <w:p w14:paraId="63F68254" w14:textId="139E7A41" w:rsidR="005B0DDB" w:rsidRDefault="00905729" w:rsidP="3FC870CB">
      <w:pPr>
        <w:rPr>
          <w:rFonts w:cs="Arial"/>
          <w:sz w:val="21"/>
          <w:szCs w:val="21"/>
        </w:rPr>
      </w:pPr>
      <w:r w:rsidRPr="00905729">
        <w:rPr>
          <w:rFonts w:cs="Arial"/>
          <w:sz w:val="21"/>
          <w:szCs w:val="21"/>
        </w:rPr>
        <w:t>Recommended HO Extent</w:t>
      </w:r>
    </w:p>
    <w:p w14:paraId="33FC8588" w14:textId="54CF6BDA" w:rsidR="005B0DDB" w:rsidRDefault="005B0DDB" w:rsidP="3FC870CB">
      <w:pPr>
        <w:rPr>
          <w:rFonts w:cs="Arial"/>
          <w:sz w:val="21"/>
          <w:szCs w:val="21"/>
        </w:rPr>
      </w:pPr>
    </w:p>
    <w:p w14:paraId="54A3CBFE" w14:textId="09A056D6" w:rsidR="00E51C2D" w:rsidRDefault="009253A4" w:rsidP="3FC870CB">
      <w:pPr>
        <w:rPr>
          <w:rFonts w:cs="Arial"/>
          <w:sz w:val="21"/>
          <w:szCs w:val="21"/>
        </w:rPr>
      </w:pPr>
      <w:r>
        <w:rPr>
          <w:noProof/>
          <w:lang w:eastAsia="en-AU"/>
        </w:rPr>
        <mc:AlternateContent>
          <mc:Choice Requires="wps">
            <w:drawing>
              <wp:anchor distT="0" distB="0" distL="114300" distR="114300" simplePos="0" relativeHeight="251662336" behindDoc="0" locked="0" layoutInCell="1" allowOverlap="1" wp14:anchorId="3A75B193" wp14:editId="7C15FA0A">
                <wp:simplePos x="0" y="0"/>
                <wp:positionH relativeFrom="column">
                  <wp:posOffset>1143000</wp:posOffset>
                </wp:positionH>
                <wp:positionV relativeFrom="paragraph">
                  <wp:posOffset>3434080</wp:posOffset>
                </wp:positionV>
                <wp:extent cx="1123950" cy="638175"/>
                <wp:effectExtent l="19050" t="19050" r="19050" b="28575"/>
                <wp:wrapNone/>
                <wp:docPr id="9" name="Straight Connector 9"/>
                <wp:cNvGraphicFramePr/>
                <a:graphic xmlns:a="http://schemas.openxmlformats.org/drawingml/2006/main">
                  <a:graphicData uri="http://schemas.microsoft.com/office/word/2010/wordprocessingShape">
                    <wps:wsp>
                      <wps:cNvCnPr/>
                      <wps:spPr>
                        <a:xfrm flipH="1">
                          <a:off x="0" y="0"/>
                          <a:ext cx="1123950" cy="638175"/>
                        </a:xfrm>
                        <a:prstGeom prst="line">
                          <a:avLst/>
                        </a:prstGeom>
                        <a:ln w="381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2131C5E" id="Straight Connector 9"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pt,270.4pt" to="178.5pt,3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" strokecolor="red" strokeweight="3pt">
                <v:stroke dashstyle="3 1" joinstyle="miter"/>
              </v:line>
            </w:pict>
          </mc:Fallback>
        </mc:AlternateContent>
      </w:r>
      <w:r>
        <w:rPr>
          <w:noProof/>
          <w:lang w:eastAsia="en-AU"/>
        </w:rPr>
        <mc:AlternateContent>
          <mc:Choice Requires="wps">
            <w:drawing>
              <wp:anchor distT="0" distB="0" distL="114300" distR="114300" simplePos="0" relativeHeight="251660288" behindDoc="0" locked="0" layoutInCell="1" allowOverlap="1" wp14:anchorId="75B03748" wp14:editId="1204B721">
                <wp:simplePos x="0" y="0"/>
                <wp:positionH relativeFrom="column">
                  <wp:posOffset>2294890</wp:posOffset>
                </wp:positionH>
                <wp:positionV relativeFrom="paragraph">
                  <wp:posOffset>2195830</wp:posOffset>
                </wp:positionV>
                <wp:extent cx="142875" cy="1171575"/>
                <wp:effectExtent l="19050" t="19050" r="28575" b="28575"/>
                <wp:wrapNone/>
                <wp:docPr id="7" name="Straight Connector 7"/>
                <wp:cNvGraphicFramePr/>
                <a:graphic xmlns:a="http://schemas.openxmlformats.org/drawingml/2006/main">
                  <a:graphicData uri="http://schemas.microsoft.com/office/word/2010/wordprocessingShape">
                    <wps:wsp>
                      <wps:cNvCnPr/>
                      <wps:spPr>
                        <a:xfrm flipH="1">
                          <a:off x="0" y="0"/>
                          <a:ext cx="142875" cy="1171575"/>
                        </a:xfrm>
                        <a:prstGeom prst="line">
                          <a:avLst/>
                        </a:prstGeom>
                        <a:ln w="381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B3E4969" id="Straight Connector 7"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7pt,172.9pt" to="191.95pt,2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" strokecolor="red" strokeweight="3pt">
                <v:stroke dashstyle="3 1" joinstyle="miter"/>
              </v:line>
            </w:pict>
          </mc:Fallback>
        </mc:AlternateContent>
      </w:r>
      <w:r>
        <w:rPr>
          <w:noProof/>
          <w:lang w:eastAsia="en-AU"/>
        </w:rPr>
        <mc:AlternateContent>
          <mc:Choice Requires="wps">
            <w:drawing>
              <wp:anchor distT="0" distB="0" distL="114300" distR="114300" simplePos="0" relativeHeight="251661312" behindDoc="0" locked="0" layoutInCell="1" allowOverlap="1" wp14:anchorId="0E35436B" wp14:editId="0948E0E8">
                <wp:simplePos x="0" y="0"/>
                <wp:positionH relativeFrom="column">
                  <wp:posOffset>1095375</wp:posOffset>
                </wp:positionH>
                <wp:positionV relativeFrom="paragraph">
                  <wp:posOffset>2072006</wp:posOffset>
                </wp:positionV>
                <wp:extent cx="266700" cy="1981200"/>
                <wp:effectExtent l="19050" t="19050" r="19050" b="19050"/>
                <wp:wrapNone/>
                <wp:docPr id="8" name="Straight Connector 8"/>
                <wp:cNvGraphicFramePr/>
                <a:graphic xmlns:a="http://schemas.openxmlformats.org/drawingml/2006/main">
                  <a:graphicData uri="http://schemas.microsoft.com/office/word/2010/wordprocessingShape">
                    <wps:wsp>
                      <wps:cNvCnPr/>
                      <wps:spPr>
                        <a:xfrm flipH="1">
                          <a:off x="0" y="0"/>
                          <a:ext cx="266700" cy="1981200"/>
                        </a:xfrm>
                        <a:prstGeom prst="line">
                          <a:avLst/>
                        </a:prstGeom>
                        <a:ln w="2857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C04A03" id="Straight Connector 8"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25pt,163.15pt" to="107.25pt,3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" strokecolor="red" strokeweight="2.25pt">
                <v:stroke dashstyle="3 1" joinstyle="miter"/>
              </v:line>
            </w:pict>
          </mc:Fallback>
        </mc:AlternateContent>
      </w:r>
      <w:r>
        <w:rPr>
          <w:noProof/>
          <w:lang w:eastAsia="en-AU"/>
        </w:rPr>
        <mc:AlternateContent>
          <mc:Choice Requires="wps">
            <w:drawing>
              <wp:anchor distT="0" distB="0" distL="114300" distR="114300" simplePos="0" relativeHeight="251659264" behindDoc="0" locked="0" layoutInCell="1" allowOverlap="1" wp14:anchorId="3A71CE9C" wp14:editId="6C684A24">
                <wp:simplePos x="0" y="0"/>
                <wp:positionH relativeFrom="column">
                  <wp:posOffset>1333500</wp:posOffset>
                </wp:positionH>
                <wp:positionV relativeFrom="paragraph">
                  <wp:posOffset>2005330</wp:posOffset>
                </wp:positionV>
                <wp:extent cx="1057275" cy="161925"/>
                <wp:effectExtent l="19050" t="19050" r="28575" b="28575"/>
                <wp:wrapNone/>
                <wp:docPr id="6" name="Straight Connector 6"/>
                <wp:cNvGraphicFramePr/>
                <a:graphic xmlns:a="http://schemas.openxmlformats.org/drawingml/2006/main">
                  <a:graphicData uri="http://schemas.microsoft.com/office/word/2010/wordprocessingShape">
                    <wps:wsp>
                      <wps:cNvCnPr/>
                      <wps:spPr>
                        <a:xfrm>
                          <a:off x="0" y="0"/>
                          <a:ext cx="1057275" cy="161925"/>
                        </a:xfrm>
                        <a:prstGeom prst="line">
                          <a:avLst/>
                        </a:prstGeom>
                        <a:ln w="381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A898FB6" id="Straight Connector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157.9pt" to="188.25pt,1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" strokecolor="red" strokeweight="3pt">
                <v:stroke dashstyle="3 1" joinstyle="miter"/>
              </v:line>
            </w:pict>
          </mc:Fallback>
        </mc:AlternateContent>
      </w:r>
      <w:r w:rsidR="00E51C2D">
        <w:rPr>
          <w:noProof/>
          <w:lang w:eastAsia="en-AU"/>
        </w:rPr>
        <w:drawing>
          <wp:inline distT="0" distB="0" distL="0" distR="0" wp14:anchorId="343106D1" wp14:editId="2804E0BE">
            <wp:extent cx="3646724" cy="4283626"/>
            <wp:effectExtent l="0" t="0" r="0" b="3175"/>
            <wp:docPr id="4" name="Picture 4" descr="A screenshot of a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map&#10;&#10;Description automatically generated with medium confidence"/>
                    <pic:cNvPicPr/>
                  </pic:nvPicPr>
                  <pic:blipFill rotWithShape="1">
                    <a:blip r:embed="rId14"/>
                    <a:srcRect l="42050" t="20729" r="22011" b="15942"/>
                    <a:stretch/>
                  </pic:blipFill>
                  <pic:spPr bwMode="auto">
                    <a:xfrm>
                      <a:off x="0" y="0"/>
                      <a:ext cx="3668466" cy="4309166"/>
                    </a:xfrm>
                    <a:prstGeom prst="rect">
                      <a:avLst/>
                    </a:prstGeom>
                    <a:ln>
                      <a:noFill/>
                    </a:ln>
                    <a:extLst>
                      <a:ext uri="{53640926-AAD7-44D8-BBD7-CCE9431645EC}">
                        <a14:shadowObscured xmlns:a14="http://schemas.microsoft.com/office/drawing/2010/main"/>
                      </a:ext>
                    </a:extLst>
                  </pic:spPr>
                </pic:pic>
              </a:graphicData>
            </a:graphic>
          </wp:inline>
        </w:drawing>
      </w:r>
    </w:p>
    <w:p w14:paraId="51FAF423" w14:textId="77777777" w:rsidR="00176A10" w:rsidRDefault="00176A10" w:rsidP="3FC870CB">
      <w:pPr>
        <w:rPr>
          <w:rFonts w:cs="Arial"/>
          <w:sz w:val="21"/>
          <w:szCs w:val="21"/>
        </w:rPr>
      </w:pPr>
    </w:p>
    <w:p w14:paraId="4F898FBC" w14:textId="67F6073D" w:rsidR="00176A10" w:rsidRPr="00934BED" w:rsidRDefault="00934BED" w:rsidP="3FC870CB">
      <w:pPr>
        <w:rPr>
          <w:rFonts w:cs="Arial"/>
          <w:sz w:val="18"/>
          <w:szCs w:val="18"/>
        </w:rPr>
      </w:pPr>
      <w:r w:rsidRPr="00934BED">
        <w:rPr>
          <w:rFonts w:cs="Arial"/>
          <w:sz w:val="18"/>
          <w:szCs w:val="18"/>
        </w:rPr>
        <w:t xml:space="preserve">Proposed </w:t>
      </w:r>
      <w:r w:rsidR="004066EF" w:rsidRPr="00934BED">
        <w:rPr>
          <w:rFonts w:cs="Arial"/>
          <w:sz w:val="18"/>
          <w:szCs w:val="18"/>
        </w:rPr>
        <w:t xml:space="preserve">Extent </w:t>
      </w:r>
      <w:r w:rsidR="004066EF">
        <w:rPr>
          <w:rFonts w:cs="Arial"/>
          <w:sz w:val="18"/>
          <w:szCs w:val="18"/>
        </w:rPr>
        <w:t>(</w:t>
      </w:r>
      <w:r w:rsidR="009253A4">
        <w:rPr>
          <w:rFonts w:cs="Arial"/>
          <w:sz w:val="18"/>
          <w:szCs w:val="18"/>
        </w:rPr>
        <w:t xml:space="preserve">indicated with red) </w:t>
      </w:r>
      <w:r w:rsidRPr="00934BED">
        <w:rPr>
          <w:rFonts w:cs="Arial"/>
          <w:sz w:val="18"/>
          <w:szCs w:val="18"/>
        </w:rPr>
        <w:t>for 349-361 Diamond Creek Road, Diamond Creek</w:t>
      </w:r>
    </w:p>
    <w:p w14:paraId="2BD3CA81" w14:textId="77777777" w:rsidR="00E241E5" w:rsidRDefault="00E241E5" w:rsidP="3FC870CB"/>
    <w:p w14:paraId="76AD579B" w14:textId="7B508AFD" w:rsidR="0044103D" w:rsidRDefault="0044103D" w:rsidP="3FC870CB"/>
    <w:p w14:paraId="09F9F76B" w14:textId="0FEDAB5D" w:rsidR="004E6328" w:rsidRPr="00533CF2" w:rsidRDefault="075196F8" w:rsidP="3FC870CB">
      <w:pPr>
        <w:rPr>
          <w:rFonts w:eastAsia="Arial" w:cs="Arial"/>
          <w:sz w:val="21"/>
          <w:szCs w:val="21"/>
        </w:rPr>
      </w:pPr>
      <w:r w:rsidRPr="3FC870CB">
        <w:rPr>
          <w:rFonts w:eastAsia="Arial" w:cs="Arial"/>
          <w:color w:val="000000" w:themeColor="text1"/>
          <w:sz w:val="21"/>
          <w:szCs w:val="21"/>
        </w:rPr>
        <w:t>Recommendations for the Schedule to the Heritage Overlay (Clause 43.01) in the Nil</w:t>
      </w:r>
      <w:r w:rsidR="00C95C44">
        <w:rPr>
          <w:rFonts w:eastAsia="Arial" w:cs="Arial"/>
          <w:color w:val="000000" w:themeColor="text1"/>
          <w:sz w:val="21"/>
          <w:szCs w:val="21"/>
        </w:rPr>
        <w:t>l</w:t>
      </w:r>
      <w:r w:rsidRPr="3FC870CB">
        <w:rPr>
          <w:rFonts w:eastAsia="Arial" w:cs="Arial"/>
          <w:color w:val="000000" w:themeColor="text1"/>
          <w:sz w:val="21"/>
          <w:szCs w:val="21"/>
        </w:rPr>
        <w:t>umbik Planning Scheme:</w:t>
      </w:r>
    </w:p>
    <w:p w14:paraId="29D524AA" w14:textId="7DFFC29C" w:rsidR="004E6328" w:rsidRPr="00533CF2" w:rsidRDefault="004E6328" w:rsidP="3FC870CB">
      <w:pPr>
        <w:rPr>
          <w:sz w:val="21"/>
          <w:szCs w:val="21"/>
        </w:rPr>
      </w:pPr>
    </w:p>
    <w:p w14:paraId="70EC5816" w14:textId="77777777" w:rsidR="0007686E" w:rsidRPr="00533CF2" w:rsidRDefault="0007686E" w:rsidP="0053253F">
      <w:pPr>
        <w:rPr>
          <w:rFonts w:cs="Arial"/>
          <w:sz w:val="21"/>
          <w:szCs w:val="21"/>
        </w:rPr>
      </w:pPr>
    </w:p>
    <w:tbl>
      <w:tblPr>
        <w:tblW w:w="0" w:type="auto"/>
        <w:tblLayout w:type="fixed"/>
        <w:tblLook w:val="04A0" w:firstRow="1" w:lastRow="0" w:firstColumn="1" w:lastColumn="0" w:noHBand="0" w:noVBand="1"/>
      </w:tblPr>
      <w:tblGrid>
        <w:gridCol w:w="6053"/>
        <w:gridCol w:w="2242"/>
      </w:tblGrid>
      <w:tr w:rsidR="3FC870CB" w14:paraId="4C5BC047"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28052CD6" w14:textId="423F2149"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External Paint Co</w:t>
            </w:r>
            <w:r w:rsidR="00C95C44">
              <w:rPr>
                <w:rFonts w:eastAsia="Arial" w:cs="Arial"/>
                <w:b/>
                <w:bCs/>
                <w:color w:val="000000" w:themeColor="text1"/>
                <w:sz w:val="21"/>
                <w:szCs w:val="21"/>
              </w:rPr>
              <w:t>ntrols</w:t>
            </w:r>
            <w:r w:rsidRPr="3FC870CB">
              <w:rPr>
                <w:rFonts w:eastAsia="Arial" w:cs="Arial"/>
                <w:b/>
                <w:bCs/>
                <w:color w:val="000000" w:themeColor="text1"/>
                <w:sz w:val="21"/>
                <w:szCs w:val="21"/>
              </w:rPr>
              <w:t xml:space="preserve"> </w:t>
            </w:r>
          </w:p>
          <w:p w14:paraId="084DF574" w14:textId="74B9D742"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to paint an already painted surface?</w:t>
            </w:r>
          </w:p>
        </w:tc>
        <w:tc>
          <w:tcPr>
            <w:tcW w:w="2242" w:type="dxa"/>
            <w:tcBorders>
              <w:top w:val="single" w:sz="6" w:space="0" w:color="auto"/>
              <w:left w:val="single" w:sz="6" w:space="0" w:color="auto"/>
              <w:bottom w:val="single" w:sz="6" w:space="0" w:color="auto"/>
              <w:right w:val="single" w:sz="6" w:space="0" w:color="auto"/>
            </w:tcBorders>
            <w:vAlign w:val="center"/>
          </w:tcPr>
          <w:p w14:paraId="6FE30565" w14:textId="03E277B2" w:rsidR="0D33FB3A" w:rsidRDefault="0072296E"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762BEE28"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5C518460" w14:textId="646AA7C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lastRenderedPageBreak/>
              <w:t xml:space="preserve">Internal Alteration Controls </w:t>
            </w:r>
          </w:p>
          <w:p w14:paraId="63488B45" w14:textId="16918C10"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for internal alterations?</w:t>
            </w:r>
          </w:p>
        </w:tc>
        <w:tc>
          <w:tcPr>
            <w:tcW w:w="2242" w:type="dxa"/>
            <w:tcBorders>
              <w:top w:val="single" w:sz="6" w:space="0" w:color="auto"/>
              <w:left w:val="single" w:sz="6" w:space="0" w:color="auto"/>
              <w:bottom w:val="single" w:sz="6" w:space="0" w:color="auto"/>
              <w:right w:val="single" w:sz="6" w:space="0" w:color="auto"/>
            </w:tcBorders>
            <w:vAlign w:val="center"/>
          </w:tcPr>
          <w:p w14:paraId="3ECA4109" w14:textId="57E02A89" w:rsidR="3FC870CB" w:rsidRDefault="0072296E"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7C2E648C"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62B02D6" w14:textId="132DE1D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Tree Controls </w:t>
            </w:r>
          </w:p>
          <w:p w14:paraId="056336C2" w14:textId="499E4626"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to remove a tree?</w:t>
            </w:r>
          </w:p>
        </w:tc>
        <w:tc>
          <w:tcPr>
            <w:tcW w:w="2242" w:type="dxa"/>
            <w:tcBorders>
              <w:top w:val="single" w:sz="6" w:space="0" w:color="auto"/>
              <w:left w:val="single" w:sz="6" w:space="0" w:color="auto"/>
              <w:bottom w:val="single" w:sz="6" w:space="0" w:color="auto"/>
              <w:right w:val="single" w:sz="6" w:space="0" w:color="auto"/>
            </w:tcBorders>
            <w:vAlign w:val="center"/>
          </w:tcPr>
          <w:p w14:paraId="3852C90F" w14:textId="7C0644A1" w:rsidR="3FC870CB" w:rsidRDefault="0072296E" w:rsidP="3FC870CB">
            <w:pPr>
              <w:jc w:val="left"/>
              <w:rPr>
                <w:rFonts w:eastAsia="Arial" w:cs="Arial"/>
                <w:color w:val="000000" w:themeColor="text1"/>
                <w:sz w:val="21"/>
                <w:szCs w:val="21"/>
              </w:rPr>
            </w:pPr>
            <w:r>
              <w:rPr>
                <w:rFonts w:eastAsia="Arial" w:cs="Arial"/>
                <w:color w:val="000000" w:themeColor="text1"/>
                <w:sz w:val="21"/>
                <w:szCs w:val="21"/>
              </w:rPr>
              <w:t>Yes (remnant orchard)</w:t>
            </w:r>
          </w:p>
        </w:tc>
      </w:tr>
      <w:tr w:rsidR="3FC870CB" w14:paraId="7CCD60ED"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4A72CCE2" w14:textId="57BCC46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Victorian Heritage Register</w:t>
            </w:r>
          </w:p>
          <w:p w14:paraId="6A6B14DB" w14:textId="4A0C234D"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the place included on the Victorian Heritage Register?</w:t>
            </w:r>
          </w:p>
        </w:tc>
        <w:tc>
          <w:tcPr>
            <w:tcW w:w="2242" w:type="dxa"/>
            <w:tcBorders>
              <w:top w:val="single" w:sz="6" w:space="0" w:color="auto"/>
              <w:left w:val="single" w:sz="6" w:space="0" w:color="auto"/>
              <w:bottom w:val="single" w:sz="6" w:space="0" w:color="auto"/>
              <w:right w:val="single" w:sz="6" w:space="0" w:color="auto"/>
            </w:tcBorders>
            <w:vAlign w:val="center"/>
          </w:tcPr>
          <w:p w14:paraId="46BDF8F0" w14:textId="3D45E6FA" w:rsidR="3FC870CB" w:rsidRDefault="005877C7"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33D8D367"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437D71C" w14:textId="354C5292"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Incorporated Plan </w:t>
            </w:r>
          </w:p>
          <w:p w14:paraId="292268A5" w14:textId="52DAB077"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Does an Incorporated Plan apply to the site?</w:t>
            </w:r>
          </w:p>
        </w:tc>
        <w:tc>
          <w:tcPr>
            <w:tcW w:w="2242" w:type="dxa"/>
            <w:tcBorders>
              <w:top w:val="single" w:sz="6" w:space="0" w:color="auto"/>
              <w:left w:val="single" w:sz="6" w:space="0" w:color="auto"/>
              <w:bottom w:val="single" w:sz="6" w:space="0" w:color="auto"/>
              <w:right w:val="single" w:sz="6" w:space="0" w:color="auto"/>
            </w:tcBorders>
            <w:vAlign w:val="center"/>
          </w:tcPr>
          <w:p w14:paraId="3C41C72A" w14:textId="422B4B87" w:rsidR="3FC870CB" w:rsidRDefault="005877C7"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5A3DF52A"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44CD4459" w14:textId="16795FD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Outbuildings and fences exemptions </w:t>
            </w:r>
          </w:p>
          <w:p w14:paraId="5CDE858A" w14:textId="223AB61B"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Are there outbuildings and fences which are not exempt from notice and review?</w:t>
            </w:r>
          </w:p>
        </w:tc>
        <w:tc>
          <w:tcPr>
            <w:tcW w:w="2242" w:type="dxa"/>
            <w:tcBorders>
              <w:top w:val="single" w:sz="6" w:space="0" w:color="auto"/>
              <w:left w:val="single" w:sz="6" w:space="0" w:color="auto"/>
              <w:bottom w:val="single" w:sz="6" w:space="0" w:color="auto"/>
              <w:right w:val="single" w:sz="6" w:space="0" w:color="auto"/>
            </w:tcBorders>
            <w:vAlign w:val="center"/>
          </w:tcPr>
          <w:p w14:paraId="213909AE" w14:textId="05B48160" w:rsidR="3FC870CB" w:rsidRDefault="00172857" w:rsidP="3FC870CB">
            <w:pPr>
              <w:jc w:val="left"/>
              <w:rPr>
                <w:rFonts w:eastAsia="Arial" w:cs="Arial"/>
                <w:color w:val="000000" w:themeColor="text1"/>
                <w:sz w:val="21"/>
                <w:szCs w:val="21"/>
              </w:rPr>
            </w:pPr>
            <w:r>
              <w:rPr>
                <w:rFonts w:eastAsia="Arial" w:cs="Arial"/>
                <w:color w:val="000000" w:themeColor="text1"/>
                <w:sz w:val="21"/>
                <w:szCs w:val="21"/>
              </w:rPr>
              <w:t xml:space="preserve">Yes </w:t>
            </w:r>
            <w:r w:rsidR="00500A2B">
              <w:rPr>
                <w:rFonts w:eastAsia="Arial" w:cs="Arial"/>
                <w:color w:val="000000" w:themeColor="text1"/>
                <w:sz w:val="21"/>
                <w:szCs w:val="21"/>
              </w:rPr>
              <w:t>-</w:t>
            </w:r>
            <w:r>
              <w:rPr>
                <w:rFonts w:eastAsia="Arial" w:cs="Arial"/>
                <w:color w:val="000000" w:themeColor="text1"/>
                <w:sz w:val="21"/>
                <w:szCs w:val="21"/>
              </w:rPr>
              <w:t xml:space="preserve"> </w:t>
            </w:r>
            <w:r>
              <w:t>garage,</w:t>
            </w:r>
            <w:r>
              <w:rPr>
                <w:spacing w:val="-2"/>
              </w:rPr>
              <w:t xml:space="preserve"> </w:t>
            </w:r>
            <w:r>
              <w:t>stables,</w:t>
            </w:r>
            <w:r>
              <w:rPr>
                <w:spacing w:val="-2"/>
              </w:rPr>
              <w:t xml:space="preserve"> </w:t>
            </w:r>
            <w:r>
              <w:t>packing</w:t>
            </w:r>
            <w:r>
              <w:rPr>
                <w:spacing w:val="-3"/>
              </w:rPr>
              <w:t xml:space="preserve"> </w:t>
            </w:r>
            <w:r>
              <w:t>sheds</w:t>
            </w:r>
          </w:p>
        </w:tc>
      </w:tr>
      <w:tr w:rsidR="3FC870CB" w14:paraId="4C48904B"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912FF96" w14:textId="42CE60B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Prohibited uses may be permitted </w:t>
            </w:r>
          </w:p>
          <w:p w14:paraId="489137A9" w14:textId="5BF08357"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Can a permit be granted to use the place for a use which would otherwise be prohibited?</w:t>
            </w:r>
          </w:p>
        </w:tc>
        <w:tc>
          <w:tcPr>
            <w:tcW w:w="2242" w:type="dxa"/>
            <w:tcBorders>
              <w:top w:val="single" w:sz="6" w:space="0" w:color="auto"/>
              <w:left w:val="single" w:sz="6" w:space="0" w:color="auto"/>
              <w:bottom w:val="single" w:sz="6" w:space="0" w:color="auto"/>
              <w:right w:val="single" w:sz="6" w:space="0" w:color="auto"/>
            </w:tcBorders>
            <w:vAlign w:val="center"/>
          </w:tcPr>
          <w:p w14:paraId="196E7BA8" w14:textId="0964FFFD" w:rsidR="3FC870CB" w:rsidRDefault="005A7F1C" w:rsidP="3FC870CB">
            <w:pPr>
              <w:jc w:val="left"/>
              <w:rPr>
                <w:rFonts w:eastAsia="Arial" w:cs="Arial"/>
                <w:color w:val="000000" w:themeColor="text1"/>
                <w:sz w:val="21"/>
                <w:szCs w:val="21"/>
              </w:rPr>
            </w:pPr>
            <w:r>
              <w:rPr>
                <w:rFonts w:eastAsia="Arial" w:cs="Arial"/>
                <w:color w:val="000000" w:themeColor="text1"/>
                <w:sz w:val="21"/>
                <w:szCs w:val="21"/>
              </w:rPr>
              <w:t>Yes</w:t>
            </w:r>
          </w:p>
        </w:tc>
      </w:tr>
      <w:tr w:rsidR="3FC870CB" w14:paraId="41372DAF"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2825C98" w14:textId="47B663C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Aboriginal Heritage Place</w:t>
            </w:r>
          </w:p>
          <w:p w14:paraId="141B7B64" w14:textId="60C58DFB"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the place an Aboriginal heritage place which is subject to the requirements of the Aboriginal Heritage Act 2006?</w:t>
            </w:r>
          </w:p>
        </w:tc>
        <w:tc>
          <w:tcPr>
            <w:tcW w:w="2242" w:type="dxa"/>
            <w:tcBorders>
              <w:top w:val="single" w:sz="6" w:space="0" w:color="auto"/>
              <w:left w:val="single" w:sz="6" w:space="0" w:color="auto"/>
              <w:bottom w:val="single" w:sz="6" w:space="0" w:color="auto"/>
              <w:right w:val="single" w:sz="6" w:space="0" w:color="auto"/>
            </w:tcBorders>
            <w:vAlign w:val="center"/>
          </w:tcPr>
          <w:p w14:paraId="699742C6" w14:textId="320E1F9F" w:rsidR="3FC870CB" w:rsidRDefault="005A7F1C" w:rsidP="3FC870CB">
            <w:pPr>
              <w:jc w:val="left"/>
              <w:rPr>
                <w:rFonts w:eastAsia="Arial" w:cs="Arial"/>
                <w:color w:val="000000" w:themeColor="text1"/>
                <w:sz w:val="21"/>
                <w:szCs w:val="21"/>
              </w:rPr>
            </w:pPr>
            <w:r>
              <w:rPr>
                <w:rFonts w:eastAsia="Arial" w:cs="Arial"/>
                <w:color w:val="000000" w:themeColor="text1"/>
                <w:sz w:val="21"/>
                <w:szCs w:val="21"/>
              </w:rPr>
              <w:t>No</w:t>
            </w:r>
          </w:p>
        </w:tc>
      </w:tr>
    </w:tbl>
    <w:p w14:paraId="73A3A0C4" w14:textId="743BBF41" w:rsidR="3FC870CB" w:rsidRDefault="3FC870CB" w:rsidP="3FC870CB">
      <w:pPr>
        <w:rPr>
          <w:sz w:val="21"/>
          <w:szCs w:val="21"/>
        </w:rPr>
      </w:pPr>
    </w:p>
    <w:p w14:paraId="62DBF479" w14:textId="48E2DF60" w:rsidR="50767ADB" w:rsidRDefault="50767ADB" w:rsidP="50767ADB">
      <w:pPr>
        <w:rPr>
          <w:sz w:val="21"/>
          <w:szCs w:val="21"/>
        </w:rPr>
      </w:pPr>
    </w:p>
    <w:p w14:paraId="35FC2506" w14:textId="77777777" w:rsidR="00F0333B" w:rsidRPr="001E3CC7" w:rsidRDefault="00F0333B" w:rsidP="0053253F">
      <w:pPr>
        <w:rPr>
          <w:rFonts w:cs="Arial"/>
          <w:b/>
          <w:sz w:val="21"/>
          <w:szCs w:val="21"/>
        </w:rPr>
      </w:pPr>
      <w:r w:rsidRPr="001E3CC7">
        <w:rPr>
          <w:rFonts w:cs="Arial"/>
          <w:b/>
          <w:sz w:val="21"/>
          <w:szCs w:val="21"/>
        </w:rPr>
        <w:t>Identified By</w:t>
      </w:r>
    </w:p>
    <w:p w14:paraId="252539B6" w14:textId="77777777" w:rsidR="00713128" w:rsidRPr="001E3CC7" w:rsidRDefault="00713128" w:rsidP="0053253F">
      <w:pPr>
        <w:rPr>
          <w:rFonts w:cs="Arial"/>
          <w:sz w:val="21"/>
          <w:szCs w:val="21"/>
        </w:rPr>
      </w:pPr>
    </w:p>
    <w:p w14:paraId="4BB010FF" w14:textId="08DACC9C" w:rsidR="00DC4E68" w:rsidRDefault="009253A4" w:rsidP="00DC4E68">
      <w:pPr>
        <w:rPr>
          <w:rFonts w:cs="Arial"/>
          <w:sz w:val="21"/>
          <w:szCs w:val="21"/>
        </w:rPr>
      </w:pPr>
      <w:r>
        <w:rPr>
          <w:rFonts w:cs="Arial"/>
          <w:sz w:val="21"/>
          <w:szCs w:val="21"/>
        </w:rPr>
        <w:t xml:space="preserve">Samantha Westbrooke Pty Ltd, Dr Peter Mills and Trethowan Architecture </w:t>
      </w:r>
    </w:p>
    <w:p w14:paraId="18DBB61F" w14:textId="77777777" w:rsidR="00935F75" w:rsidRPr="00533CF2" w:rsidRDefault="00935F75" w:rsidP="0053253F">
      <w:pPr>
        <w:rPr>
          <w:rFonts w:cs="Arial"/>
          <w:sz w:val="21"/>
          <w:szCs w:val="21"/>
        </w:rPr>
      </w:pPr>
    </w:p>
    <w:p w14:paraId="3FE67038" w14:textId="1B17B91C" w:rsidR="00827F9F" w:rsidRDefault="00827F9F">
      <w:pPr>
        <w:overflowPunct/>
        <w:autoSpaceDE/>
        <w:autoSpaceDN/>
        <w:adjustRightInd/>
        <w:jc w:val="left"/>
        <w:textAlignment w:val="auto"/>
        <w:rPr>
          <w:rFonts w:cs="Arial"/>
          <w:b/>
          <w:sz w:val="21"/>
          <w:szCs w:val="21"/>
        </w:rPr>
      </w:pPr>
    </w:p>
    <w:p w14:paraId="066BED96" w14:textId="77777777" w:rsidR="00F0333B" w:rsidRPr="00533CF2" w:rsidRDefault="00F0333B" w:rsidP="0053253F">
      <w:pPr>
        <w:rPr>
          <w:rFonts w:cs="Arial"/>
          <w:b/>
          <w:sz w:val="21"/>
          <w:szCs w:val="21"/>
        </w:rPr>
      </w:pPr>
      <w:r w:rsidRPr="00533CF2">
        <w:rPr>
          <w:rFonts w:cs="Arial"/>
          <w:b/>
          <w:sz w:val="21"/>
          <w:szCs w:val="21"/>
        </w:rPr>
        <w:t>References</w:t>
      </w:r>
    </w:p>
    <w:p w14:paraId="72137FE0" w14:textId="77777777" w:rsidR="008476F5" w:rsidRDefault="008476F5" w:rsidP="008476F5">
      <w:pPr>
        <w:rPr>
          <w:rFonts w:cs="Arial"/>
          <w:sz w:val="21"/>
          <w:szCs w:val="21"/>
        </w:rPr>
      </w:pPr>
    </w:p>
    <w:p w14:paraId="6D122A84" w14:textId="21812274" w:rsidR="008476F5" w:rsidRDefault="008476F5" w:rsidP="008476F5">
      <w:pPr>
        <w:rPr>
          <w:rFonts w:cs="Arial"/>
          <w:sz w:val="21"/>
          <w:szCs w:val="21"/>
        </w:rPr>
      </w:pPr>
      <w:r>
        <w:rPr>
          <w:rFonts w:cs="Arial"/>
          <w:sz w:val="21"/>
          <w:szCs w:val="21"/>
        </w:rPr>
        <w:t xml:space="preserve">Birth Death Marriages (BDM), as cited. </w:t>
      </w:r>
    </w:p>
    <w:p w14:paraId="6CF5EC08" w14:textId="77777777" w:rsidR="008476F5" w:rsidRDefault="008476F5" w:rsidP="008476F5">
      <w:pPr>
        <w:rPr>
          <w:rFonts w:cs="Arial"/>
          <w:sz w:val="21"/>
          <w:szCs w:val="21"/>
        </w:rPr>
      </w:pPr>
    </w:p>
    <w:p w14:paraId="316CE645" w14:textId="77777777" w:rsidR="008476F5" w:rsidRDefault="008476F5" w:rsidP="008476F5">
      <w:pPr>
        <w:rPr>
          <w:rFonts w:cs="Arial"/>
          <w:sz w:val="21"/>
          <w:szCs w:val="21"/>
        </w:rPr>
      </w:pPr>
      <w:r>
        <w:rPr>
          <w:rFonts w:cs="Arial"/>
          <w:sz w:val="21"/>
          <w:szCs w:val="21"/>
        </w:rPr>
        <w:t xml:space="preserve">Certificate of Title, as cited. </w:t>
      </w:r>
    </w:p>
    <w:p w14:paraId="39CAA62E" w14:textId="77777777" w:rsidR="008476F5" w:rsidRDefault="008476F5" w:rsidP="008476F5">
      <w:pPr>
        <w:rPr>
          <w:rFonts w:cs="Arial"/>
          <w:i/>
          <w:iCs/>
          <w:sz w:val="21"/>
          <w:szCs w:val="21"/>
        </w:rPr>
      </w:pPr>
    </w:p>
    <w:p w14:paraId="2E5606A2" w14:textId="77777777" w:rsidR="008476F5" w:rsidRDefault="008476F5" w:rsidP="008476F5">
      <w:pPr>
        <w:rPr>
          <w:rFonts w:cs="Arial"/>
          <w:sz w:val="21"/>
          <w:szCs w:val="21"/>
        </w:rPr>
      </w:pPr>
      <w:r>
        <w:rPr>
          <w:rFonts w:cs="Arial"/>
          <w:i/>
          <w:iCs/>
          <w:sz w:val="21"/>
          <w:szCs w:val="21"/>
        </w:rPr>
        <w:t>The Age</w:t>
      </w:r>
      <w:r>
        <w:rPr>
          <w:rFonts w:cs="Arial"/>
          <w:sz w:val="21"/>
          <w:szCs w:val="21"/>
        </w:rPr>
        <w:t xml:space="preserve">, as cited. </w:t>
      </w:r>
    </w:p>
    <w:p w14:paraId="3549391D" w14:textId="77777777" w:rsidR="008476F5" w:rsidRDefault="008476F5" w:rsidP="008476F5">
      <w:pPr>
        <w:rPr>
          <w:rFonts w:cs="Arial"/>
          <w:sz w:val="21"/>
          <w:szCs w:val="21"/>
        </w:rPr>
      </w:pPr>
    </w:p>
    <w:p w14:paraId="5520D338" w14:textId="77777777" w:rsidR="008476F5" w:rsidRPr="006355F1" w:rsidRDefault="008476F5" w:rsidP="008476F5">
      <w:pPr>
        <w:rPr>
          <w:rFonts w:cs="Arial"/>
          <w:sz w:val="21"/>
          <w:szCs w:val="21"/>
        </w:rPr>
      </w:pPr>
      <w:r>
        <w:rPr>
          <w:rFonts w:cs="Arial"/>
          <w:i/>
          <w:iCs/>
          <w:sz w:val="21"/>
          <w:szCs w:val="21"/>
        </w:rPr>
        <w:t>The Argus</w:t>
      </w:r>
      <w:r>
        <w:rPr>
          <w:rFonts w:cs="Arial"/>
          <w:sz w:val="21"/>
          <w:szCs w:val="21"/>
        </w:rPr>
        <w:t xml:space="preserve">, as cited. </w:t>
      </w:r>
    </w:p>
    <w:p w14:paraId="6753E255" w14:textId="77777777" w:rsidR="008476F5" w:rsidRDefault="008476F5" w:rsidP="008476F5">
      <w:pPr>
        <w:rPr>
          <w:rFonts w:cs="Arial"/>
          <w:sz w:val="21"/>
          <w:szCs w:val="21"/>
        </w:rPr>
      </w:pPr>
    </w:p>
    <w:p w14:paraId="181ED2AA" w14:textId="77777777" w:rsidR="008476F5" w:rsidRDefault="008476F5" w:rsidP="008476F5">
      <w:pPr>
        <w:rPr>
          <w:rFonts w:cs="Arial"/>
          <w:sz w:val="21"/>
          <w:szCs w:val="21"/>
        </w:rPr>
      </w:pPr>
      <w:r>
        <w:rPr>
          <w:rFonts w:cs="Arial"/>
          <w:i/>
          <w:iCs/>
          <w:sz w:val="21"/>
          <w:szCs w:val="21"/>
        </w:rPr>
        <w:t>The Australasian</w:t>
      </w:r>
      <w:r>
        <w:rPr>
          <w:rFonts w:cs="Arial"/>
          <w:sz w:val="21"/>
          <w:szCs w:val="21"/>
        </w:rPr>
        <w:t xml:space="preserve"> as cited. </w:t>
      </w:r>
    </w:p>
    <w:p w14:paraId="718479EE" w14:textId="77777777" w:rsidR="008476F5" w:rsidRPr="001B51AA" w:rsidRDefault="008476F5" w:rsidP="008476F5">
      <w:pPr>
        <w:rPr>
          <w:rFonts w:cs="Arial"/>
          <w:sz w:val="21"/>
          <w:szCs w:val="21"/>
        </w:rPr>
      </w:pPr>
    </w:p>
    <w:p w14:paraId="024685D1" w14:textId="77777777" w:rsidR="008476F5" w:rsidRDefault="008476F5" w:rsidP="008476F5">
      <w:pPr>
        <w:rPr>
          <w:rFonts w:cs="Arial"/>
          <w:sz w:val="21"/>
          <w:szCs w:val="21"/>
        </w:rPr>
      </w:pPr>
      <w:r>
        <w:rPr>
          <w:rFonts w:cs="Arial"/>
          <w:i/>
          <w:iCs/>
          <w:sz w:val="21"/>
          <w:szCs w:val="21"/>
        </w:rPr>
        <w:t xml:space="preserve">Evelyn Observer and Bourke </w:t>
      </w:r>
      <w:r w:rsidRPr="003D22CE">
        <w:rPr>
          <w:rFonts w:cs="Arial"/>
          <w:i/>
          <w:iCs/>
          <w:sz w:val="21"/>
          <w:szCs w:val="21"/>
        </w:rPr>
        <w:t>East Record</w:t>
      </w:r>
      <w:r>
        <w:rPr>
          <w:rFonts w:cs="Arial"/>
          <w:i/>
          <w:iCs/>
          <w:sz w:val="21"/>
          <w:szCs w:val="21"/>
        </w:rPr>
        <w:t xml:space="preserve"> (</w:t>
      </w:r>
      <w:r>
        <w:rPr>
          <w:rFonts w:cs="Arial"/>
          <w:sz w:val="21"/>
          <w:szCs w:val="21"/>
        </w:rPr>
        <w:t xml:space="preserve">EOBER), as cited. </w:t>
      </w:r>
    </w:p>
    <w:p w14:paraId="66885B32" w14:textId="77777777" w:rsidR="008476F5" w:rsidRDefault="008476F5" w:rsidP="008476F5">
      <w:pPr>
        <w:rPr>
          <w:rFonts w:cs="Arial"/>
          <w:sz w:val="21"/>
          <w:szCs w:val="21"/>
        </w:rPr>
      </w:pPr>
    </w:p>
    <w:p w14:paraId="181F76D1" w14:textId="77777777" w:rsidR="008476F5" w:rsidRDefault="008476F5" w:rsidP="008476F5">
      <w:pPr>
        <w:rPr>
          <w:rFonts w:cs="Arial"/>
          <w:sz w:val="21"/>
          <w:szCs w:val="21"/>
        </w:rPr>
      </w:pPr>
      <w:r w:rsidRPr="00671CE0">
        <w:rPr>
          <w:rFonts w:cs="Arial"/>
          <w:sz w:val="21"/>
          <w:szCs w:val="21"/>
        </w:rPr>
        <w:t>Graeme Butler &amp; Associates. 1996. Nillumbik Shire Heritage Study Stage 1, Review, Heritage Survey and Environmental History. Greensborough: Shire of Nillumbik.</w:t>
      </w:r>
    </w:p>
    <w:p w14:paraId="0A1DFEC1" w14:textId="77777777" w:rsidR="008476F5" w:rsidRDefault="008476F5" w:rsidP="008476F5">
      <w:pPr>
        <w:rPr>
          <w:rFonts w:cs="Arial"/>
          <w:sz w:val="21"/>
          <w:szCs w:val="21"/>
        </w:rPr>
      </w:pPr>
    </w:p>
    <w:p w14:paraId="3BC2E8E3" w14:textId="77777777" w:rsidR="008476F5" w:rsidRDefault="008476F5" w:rsidP="008476F5">
      <w:pPr>
        <w:rPr>
          <w:rStyle w:val="Emphasis"/>
          <w:rFonts w:cs="Arial"/>
          <w:color w:val="000000"/>
          <w:shd w:val="clear" w:color="auto" w:fill="FFFFFF"/>
        </w:rPr>
      </w:pPr>
      <w:r>
        <w:rPr>
          <w:rFonts w:cs="Arial"/>
          <w:color w:val="000000"/>
          <w:shd w:val="clear" w:color="auto" w:fill="FFFFFF"/>
        </w:rPr>
        <w:t>Great Britain. War Office. General Staff. Commonwealth Section &amp; Australia. Department of Defence 1920, 'Yan Yean, Victoria / prepared by Commonwealth Section, Imperial General Staff' </w:t>
      </w:r>
      <w:r>
        <w:rPr>
          <w:rStyle w:val="Emphasis"/>
          <w:rFonts w:cs="Arial"/>
          <w:color w:val="000000"/>
          <w:shd w:val="clear" w:color="auto" w:fill="FFFFFF"/>
        </w:rPr>
        <w:t>Yan Yean, Victoria [cartographic material]</w:t>
      </w:r>
    </w:p>
    <w:p w14:paraId="3F6D1DD6" w14:textId="77777777" w:rsidR="008476F5" w:rsidRDefault="008476F5" w:rsidP="008476F5">
      <w:pPr>
        <w:rPr>
          <w:rFonts w:cs="Arial"/>
          <w:sz w:val="21"/>
          <w:szCs w:val="21"/>
        </w:rPr>
      </w:pPr>
    </w:p>
    <w:p w14:paraId="581E7E9F" w14:textId="77777777" w:rsidR="008476F5" w:rsidRDefault="008476F5" w:rsidP="008476F5">
      <w:pPr>
        <w:rPr>
          <w:rFonts w:cs="Arial"/>
          <w:sz w:val="21"/>
          <w:szCs w:val="21"/>
        </w:rPr>
      </w:pPr>
      <w:r>
        <w:rPr>
          <w:rFonts w:cs="Arial"/>
          <w:sz w:val="21"/>
          <w:szCs w:val="21"/>
        </w:rPr>
        <w:t>Land Victoria, Certificates of Title (CT), as cited.</w:t>
      </w:r>
    </w:p>
    <w:p w14:paraId="24EC7879" w14:textId="77777777" w:rsidR="008476F5" w:rsidRDefault="008476F5" w:rsidP="008476F5">
      <w:pPr>
        <w:rPr>
          <w:rFonts w:cs="Arial"/>
          <w:i/>
          <w:iCs/>
          <w:sz w:val="21"/>
          <w:szCs w:val="21"/>
        </w:rPr>
      </w:pPr>
    </w:p>
    <w:p w14:paraId="1ED68437" w14:textId="77777777" w:rsidR="008476F5" w:rsidRDefault="008476F5" w:rsidP="008476F5">
      <w:pPr>
        <w:rPr>
          <w:rFonts w:cs="Arial"/>
          <w:sz w:val="21"/>
          <w:szCs w:val="21"/>
        </w:rPr>
      </w:pPr>
      <w:r>
        <w:rPr>
          <w:rFonts w:cs="Arial"/>
          <w:i/>
          <w:iCs/>
          <w:sz w:val="21"/>
          <w:szCs w:val="21"/>
        </w:rPr>
        <w:t>Leader</w:t>
      </w:r>
      <w:r>
        <w:rPr>
          <w:rFonts w:cs="Arial"/>
          <w:sz w:val="21"/>
          <w:szCs w:val="21"/>
        </w:rPr>
        <w:t xml:space="preserve">, as cited. </w:t>
      </w:r>
    </w:p>
    <w:p w14:paraId="269AE5AF" w14:textId="77777777" w:rsidR="008476F5" w:rsidRDefault="008476F5" w:rsidP="008476F5">
      <w:pPr>
        <w:rPr>
          <w:rFonts w:cs="Arial"/>
          <w:sz w:val="21"/>
          <w:szCs w:val="21"/>
        </w:rPr>
      </w:pPr>
    </w:p>
    <w:p w14:paraId="1F6A2ACA" w14:textId="77777777" w:rsidR="008476F5" w:rsidRDefault="008476F5" w:rsidP="008476F5">
      <w:r>
        <w:t xml:space="preserve">PROV, VA 2620 Registrar of Probates, Supreme Court, VPRS 28 Probate and Administration Files, file 424/708 Robert M Finlay, Grant of probate </w:t>
      </w:r>
    </w:p>
    <w:p w14:paraId="46F85469" w14:textId="77777777" w:rsidR="008476F5" w:rsidRDefault="008476F5" w:rsidP="008476F5"/>
    <w:p w14:paraId="3FCB0F7E" w14:textId="77777777" w:rsidR="008476F5" w:rsidRDefault="008476F5" w:rsidP="008476F5">
      <w:pPr>
        <w:rPr>
          <w:rFonts w:cs="Arial"/>
          <w:sz w:val="21"/>
          <w:szCs w:val="21"/>
        </w:rPr>
      </w:pPr>
      <w:r w:rsidRPr="00F9389F">
        <w:t>Shire</w:t>
      </w:r>
      <w:r w:rsidRPr="00F9389F">
        <w:rPr>
          <w:spacing w:val="-4"/>
        </w:rPr>
        <w:t xml:space="preserve"> </w:t>
      </w:r>
      <w:r w:rsidRPr="00F9389F">
        <w:t>of</w:t>
      </w:r>
      <w:r w:rsidRPr="00F9389F">
        <w:rPr>
          <w:spacing w:val="-5"/>
        </w:rPr>
        <w:t xml:space="preserve"> </w:t>
      </w:r>
      <w:r w:rsidRPr="00F9389F">
        <w:t>Heidelberg</w:t>
      </w:r>
      <w:r w:rsidRPr="00F9389F">
        <w:rPr>
          <w:spacing w:val="-3"/>
        </w:rPr>
        <w:t xml:space="preserve"> </w:t>
      </w:r>
      <w:r w:rsidRPr="00F9389F">
        <w:t>Greensborough</w:t>
      </w:r>
      <w:r w:rsidRPr="00F9389F">
        <w:rPr>
          <w:spacing w:val="-2"/>
        </w:rPr>
        <w:t xml:space="preserve"> </w:t>
      </w:r>
      <w:r w:rsidRPr="00F9389F">
        <w:t>Riding</w:t>
      </w:r>
      <w:r w:rsidRPr="00F9389F">
        <w:rPr>
          <w:spacing w:val="-4"/>
        </w:rPr>
        <w:t xml:space="preserve"> </w:t>
      </w:r>
      <w:r>
        <w:t>Rate Books (</w:t>
      </w:r>
      <w:r w:rsidRPr="00EA3D37">
        <w:t>later Heidelberg Riding Rate Books</w:t>
      </w:r>
      <w:r>
        <w:t xml:space="preserve">), as cited. </w:t>
      </w:r>
    </w:p>
    <w:p w14:paraId="6C1E3C52" w14:textId="77777777" w:rsidR="008476F5" w:rsidRDefault="008476F5" w:rsidP="008476F5">
      <w:pPr>
        <w:rPr>
          <w:rFonts w:cs="Arial"/>
          <w:sz w:val="21"/>
          <w:szCs w:val="21"/>
        </w:rPr>
      </w:pPr>
    </w:p>
    <w:p w14:paraId="5EFD170A" w14:textId="77777777" w:rsidR="008476F5" w:rsidRDefault="008476F5" w:rsidP="008476F5">
      <w:pPr>
        <w:rPr>
          <w:rFonts w:cs="Arial"/>
          <w:sz w:val="21"/>
          <w:szCs w:val="21"/>
        </w:rPr>
      </w:pPr>
      <w:r>
        <w:rPr>
          <w:rFonts w:cs="Arial"/>
          <w:i/>
          <w:iCs/>
          <w:sz w:val="21"/>
          <w:szCs w:val="21"/>
        </w:rPr>
        <w:t>Weekly Times</w:t>
      </w:r>
      <w:r>
        <w:rPr>
          <w:rFonts w:cs="Arial"/>
          <w:sz w:val="21"/>
          <w:szCs w:val="21"/>
        </w:rPr>
        <w:t xml:space="preserve">, as cited. </w:t>
      </w:r>
    </w:p>
    <w:p w14:paraId="3E9BCFCB" w14:textId="77777777" w:rsidR="002B0C04" w:rsidRDefault="002B0C04" w:rsidP="004263CB">
      <w:pPr>
        <w:rPr>
          <w:rFonts w:cs="Arial"/>
          <w:sz w:val="21"/>
          <w:szCs w:val="21"/>
        </w:rPr>
      </w:pPr>
    </w:p>
    <w:p w14:paraId="29A9AB02" w14:textId="77777777" w:rsidR="008476F5" w:rsidRDefault="008476F5" w:rsidP="004263CB">
      <w:pPr>
        <w:rPr>
          <w:rFonts w:cs="Arial"/>
          <w:sz w:val="21"/>
          <w:szCs w:val="21"/>
        </w:rPr>
      </w:pPr>
    </w:p>
    <w:p w14:paraId="71BFED11" w14:textId="49149062" w:rsidR="002F4AFB" w:rsidRDefault="002F4AFB" w:rsidP="50767ADB">
      <w:pPr>
        <w:rPr>
          <w:sz w:val="21"/>
          <w:szCs w:val="21"/>
          <w:highlight w:val="yellow"/>
        </w:rPr>
      </w:pPr>
    </w:p>
    <w:p w14:paraId="34F3D40C" w14:textId="159E54DE" w:rsidR="002F4AFB" w:rsidRDefault="002F4AFB" w:rsidP="00FB4871">
      <w:pPr>
        <w:rPr>
          <w:sz w:val="21"/>
          <w:szCs w:val="21"/>
        </w:rPr>
      </w:pPr>
    </w:p>
    <w:p w14:paraId="762A8842" w14:textId="73C8CADB" w:rsidR="002F4AFB" w:rsidRPr="00FB4871" w:rsidRDefault="002F4AFB" w:rsidP="00FB4871">
      <w:pPr>
        <w:rPr>
          <w:sz w:val="21"/>
          <w:szCs w:val="21"/>
        </w:rPr>
      </w:pPr>
    </w:p>
    <w:sectPr w:rsidR="002F4AFB" w:rsidRPr="00FB4871" w:rsidSect="00FC7300">
      <w:headerReference w:type="default" r:id="rId15"/>
      <w:footerReference w:type="default" r:id="rId16"/>
      <w:pgSz w:w="11906" w:h="16838"/>
      <w:pgMar w:top="1843" w:right="1800" w:bottom="1440" w:left="180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1C9501" w14:textId="77777777" w:rsidR="004844A3" w:rsidRDefault="004844A3">
      <w:r>
        <w:separator/>
      </w:r>
    </w:p>
  </w:endnote>
  <w:endnote w:type="continuationSeparator" w:id="0">
    <w:p w14:paraId="43DBD7A4" w14:textId="77777777" w:rsidR="004844A3" w:rsidRDefault="004844A3">
      <w:r>
        <w:continuationSeparator/>
      </w:r>
    </w:p>
  </w:endnote>
  <w:endnote w:type="continuationNotice" w:id="1">
    <w:p w14:paraId="01A5204B" w14:textId="77777777" w:rsidR="004844A3" w:rsidRDefault="004844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35FB2" w14:textId="73A6B2AE" w:rsidR="009235F4" w:rsidRDefault="009235F4">
    <w:pPr>
      <w:pStyle w:val="Footer"/>
      <w:jc w:val="center"/>
    </w:pPr>
    <w:r>
      <w:fldChar w:fldCharType="begin"/>
    </w:r>
    <w:r>
      <w:instrText xml:space="preserve"> PAGE   \* MERGEFORMAT </w:instrText>
    </w:r>
    <w:r>
      <w:fldChar w:fldCharType="separate"/>
    </w:r>
    <w:r w:rsidR="00AC5B23">
      <w:rPr>
        <w:noProof/>
      </w:rPr>
      <w:t>2</w:t>
    </w:r>
    <w:r>
      <w:rPr>
        <w:noProof/>
      </w:rPr>
      <w:fldChar w:fldCharType="end"/>
    </w:r>
  </w:p>
  <w:p w14:paraId="7F7B09F3" w14:textId="77777777" w:rsidR="009235F4" w:rsidRDefault="009235F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1BF454" w14:textId="77777777" w:rsidR="004844A3" w:rsidRDefault="004844A3">
      <w:r>
        <w:separator/>
      </w:r>
    </w:p>
  </w:footnote>
  <w:footnote w:type="continuationSeparator" w:id="0">
    <w:p w14:paraId="1AFA171C" w14:textId="77777777" w:rsidR="004844A3" w:rsidRDefault="004844A3">
      <w:r>
        <w:continuationSeparator/>
      </w:r>
    </w:p>
  </w:footnote>
  <w:footnote w:type="continuationNotice" w:id="1">
    <w:p w14:paraId="6CF42E18" w14:textId="77777777" w:rsidR="004844A3" w:rsidRDefault="004844A3"/>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AE700" w14:textId="77777777" w:rsidR="001277B4" w:rsidRDefault="001277B4" w:rsidP="0053253F">
    <w:pPr>
      <w:pStyle w:val="Header"/>
      <w:jc w:val="center"/>
      <w:rPr>
        <w:noProof/>
      </w:rPr>
    </w:pPr>
  </w:p>
  <w:p w14:paraId="69C0AC98" w14:textId="1C8493E8" w:rsidR="009235F4" w:rsidRPr="00A51763" w:rsidRDefault="004561C4" w:rsidP="0053253F">
    <w:pPr>
      <w:pStyle w:val="Header"/>
      <w:jc w:val="center"/>
    </w:pPr>
    <w:r>
      <w:rPr>
        <w:noProof/>
        <w:lang w:eastAsia="en-AU"/>
      </w:rPr>
      <w:drawing>
        <wp:inline distT="0" distB="0" distL="0" distR="0" wp14:anchorId="3D92D951" wp14:editId="19A78BCB">
          <wp:extent cx="1604449" cy="1008774"/>
          <wp:effectExtent l="0" t="0" r="0" b="127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rotWithShape="1">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l="11403" t="3965" r="12860" b="18560"/>
                  <a:stretch/>
                </pic:blipFill>
                <pic:spPr bwMode="auto">
                  <a:xfrm>
                    <a:off x="0" y="0"/>
                    <a:ext cx="1631110" cy="1025537"/>
                  </a:xfrm>
                  <a:prstGeom prst="rect">
                    <a:avLst/>
                  </a:prstGeom>
                  <a:ln>
                    <a:noFill/>
                  </a:ln>
                  <a:extLst>
                    <a:ext uri="{53640926-AAD7-44D8-BBD7-CCE9431645EC}">
                      <a14:shadowObscured xmlns:a14="http://schemas.microsoft.com/office/drawing/2010/main"/>
                    </a:ext>
                  </a:extLst>
                </pic:spPr>
              </pic:pic>
            </a:graphicData>
          </a:graphic>
        </wp:inline>
      </w:drawing>
    </w:r>
  </w:p>
</w:hdr>
</file>

<file path=word/intelligence.xml><?xml version="1.0" encoding="utf-8"?>
<int:Intelligence xmlns:int="http://schemas.microsoft.com/office/intelligence/2019/intelligence">
  <int:IntelligenceSettings/>
  <int:Manifest/>
  <int:Observations/>
</int: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93F32DD"/>
    <w:multiLevelType w:val="hybridMultilevel"/>
    <w:tmpl w:val="E7F05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719"/>
    <w:rsid w:val="00003041"/>
    <w:rsid w:val="000077B0"/>
    <w:rsid w:val="000107A9"/>
    <w:rsid w:val="000122AD"/>
    <w:rsid w:val="00014192"/>
    <w:rsid w:val="000154DD"/>
    <w:rsid w:val="000226FB"/>
    <w:rsid w:val="00022F3C"/>
    <w:rsid w:val="000262DF"/>
    <w:rsid w:val="000274A4"/>
    <w:rsid w:val="00033575"/>
    <w:rsid w:val="00035200"/>
    <w:rsid w:val="000414F2"/>
    <w:rsid w:val="000456A1"/>
    <w:rsid w:val="00053945"/>
    <w:rsid w:val="000545A0"/>
    <w:rsid w:val="00055E59"/>
    <w:rsid w:val="00057B39"/>
    <w:rsid w:val="00060349"/>
    <w:rsid w:val="00062C40"/>
    <w:rsid w:val="000648FC"/>
    <w:rsid w:val="00066DD5"/>
    <w:rsid w:val="0007515A"/>
    <w:rsid w:val="0007686E"/>
    <w:rsid w:val="000833F9"/>
    <w:rsid w:val="0008388E"/>
    <w:rsid w:val="00090A7F"/>
    <w:rsid w:val="000934FD"/>
    <w:rsid w:val="000A2BD2"/>
    <w:rsid w:val="000A2DEC"/>
    <w:rsid w:val="000A2E65"/>
    <w:rsid w:val="000A39ED"/>
    <w:rsid w:val="000A7362"/>
    <w:rsid w:val="000B587E"/>
    <w:rsid w:val="000C7A77"/>
    <w:rsid w:val="000D062C"/>
    <w:rsid w:val="000D19AF"/>
    <w:rsid w:val="000D4813"/>
    <w:rsid w:val="000D49CE"/>
    <w:rsid w:val="000E03A6"/>
    <w:rsid w:val="000E51B0"/>
    <w:rsid w:val="000E6362"/>
    <w:rsid w:val="000E6D08"/>
    <w:rsid w:val="000F3F6D"/>
    <w:rsid w:val="001028A3"/>
    <w:rsid w:val="0010333E"/>
    <w:rsid w:val="0010386C"/>
    <w:rsid w:val="00103D51"/>
    <w:rsid w:val="00104F1F"/>
    <w:rsid w:val="00112879"/>
    <w:rsid w:val="00120EE3"/>
    <w:rsid w:val="001277B4"/>
    <w:rsid w:val="00127E5E"/>
    <w:rsid w:val="0013394E"/>
    <w:rsid w:val="001364B0"/>
    <w:rsid w:val="001469BB"/>
    <w:rsid w:val="001511E7"/>
    <w:rsid w:val="001517D4"/>
    <w:rsid w:val="001612CB"/>
    <w:rsid w:val="00163F52"/>
    <w:rsid w:val="00172857"/>
    <w:rsid w:val="0017319C"/>
    <w:rsid w:val="00176A10"/>
    <w:rsid w:val="00177E99"/>
    <w:rsid w:val="001823E3"/>
    <w:rsid w:val="001855EB"/>
    <w:rsid w:val="001A37A9"/>
    <w:rsid w:val="001A47BB"/>
    <w:rsid w:val="001A52D1"/>
    <w:rsid w:val="001A7000"/>
    <w:rsid w:val="001A7874"/>
    <w:rsid w:val="001B0F67"/>
    <w:rsid w:val="001B23A1"/>
    <w:rsid w:val="001B51AA"/>
    <w:rsid w:val="001C1CE5"/>
    <w:rsid w:val="001C2B42"/>
    <w:rsid w:val="001C6550"/>
    <w:rsid w:val="001D116F"/>
    <w:rsid w:val="001D272A"/>
    <w:rsid w:val="001D4F49"/>
    <w:rsid w:val="001D69F4"/>
    <w:rsid w:val="001D6FC0"/>
    <w:rsid w:val="001D7026"/>
    <w:rsid w:val="001E3CC7"/>
    <w:rsid w:val="001E3DB8"/>
    <w:rsid w:val="001E3FAF"/>
    <w:rsid w:val="001E5790"/>
    <w:rsid w:val="001E5E3B"/>
    <w:rsid w:val="001F0479"/>
    <w:rsid w:val="001F7884"/>
    <w:rsid w:val="00224F1A"/>
    <w:rsid w:val="00227832"/>
    <w:rsid w:val="00235A3E"/>
    <w:rsid w:val="00243455"/>
    <w:rsid w:val="0024366A"/>
    <w:rsid w:val="00252F73"/>
    <w:rsid w:val="002540D5"/>
    <w:rsid w:val="0025740D"/>
    <w:rsid w:val="00260939"/>
    <w:rsid w:val="00262516"/>
    <w:rsid w:val="00264859"/>
    <w:rsid w:val="00275696"/>
    <w:rsid w:val="00284B92"/>
    <w:rsid w:val="0028726F"/>
    <w:rsid w:val="002878FB"/>
    <w:rsid w:val="00292A40"/>
    <w:rsid w:val="002946A1"/>
    <w:rsid w:val="00297D7A"/>
    <w:rsid w:val="00297D9F"/>
    <w:rsid w:val="002A0331"/>
    <w:rsid w:val="002A0351"/>
    <w:rsid w:val="002A461F"/>
    <w:rsid w:val="002B0C04"/>
    <w:rsid w:val="002B26CE"/>
    <w:rsid w:val="002B3495"/>
    <w:rsid w:val="002B4BEC"/>
    <w:rsid w:val="002B4D7C"/>
    <w:rsid w:val="002B7137"/>
    <w:rsid w:val="002C689A"/>
    <w:rsid w:val="002C7ACC"/>
    <w:rsid w:val="002E22D2"/>
    <w:rsid w:val="002E26FD"/>
    <w:rsid w:val="002E4720"/>
    <w:rsid w:val="002E538A"/>
    <w:rsid w:val="002E6BFA"/>
    <w:rsid w:val="002F3D66"/>
    <w:rsid w:val="002F4AFB"/>
    <w:rsid w:val="002F71CD"/>
    <w:rsid w:val="00300E99"/>
    <w:rsid w:val="0030201F"/>
    <w:rsid w:val="00303A99"/>
    <w:rsid w:val="00304154"/>
    <w:rsid w:val="00304CCC"/>
    <w:rsid w:val="0030501C"/>
    <w:rsid w:val="00307380"/>
    <w:rsid w:val="00307E71"/>
    <w:rsid w:val="00310FFD"/>
    <w:rsid w:val="0031331E"/>
    <w:rsid w:val="00315229"/>
    <w:rsid w:val="00315F9A"/>
    <w:rsid w:val="0032362F"/>
    <w:rsid w:val="00323AE8"/>
    <w:rsid w:val="00332D75"/>
    <w:rsid w:val="00332DD0"/>
    <w:rsid w:val="00335ECB"/>
    <w:rsid w:val="00336725"/>
    <w:rsid w:val="00337350"/>
    <w:rsid w:val="0034371D"/>
    <w:rsid w:val="0034382D"/>
    <w:rsid w:val="00344D5E"/>
    <w:rsid w:val="0034714B"/>
    <w:rsid w:val="003511D4"/>
    <w:rsid w:val="00351787"/>
    <w:rsid w:val="0035305E"/>
    <w:rsid w:val="0035661D"/>
    <w:rsid w:val="00363791"/>
    <w:rsid w:val="00370AAD"/>
    <w:rsid w:val="00374236"/>
    <w:rsid w:val="00380E05"/>
    <w:rsid w:val="00381DD7"/>
    <w:rsid w:val="003820FD"/>
    <w:rsid w:val="00390186"/>
    <w:rsid w:val="003921F6"/>
    <w:rsid w:val="00394406"/>
    <w:rsid w:val="00395133"/>
    <w:rsid w:val="003A0EF9"/>
    <w:rsid w:val="003A0F2A"/>
    <w:rsid w:val="003A3D4C"/>
    <w:rsid w:val="003A59E2"/>
    <w:rsid w:val="003B1812"/>
    <w:rsid w:val="003B1870"/>
    <w:rsid w:val="003B2A7D"/>
    <w:rsid w:val="003B7CE6"/>
    <w:rsid w:val="003D22CE"/>
    <w:rsid w:val="003D39C2"/>
    <w:rsid w:val="003E0985"/>
    <w:rsid w:val="003E5F76"/>
    <w:rsid w:val="003E65DA"/>
    <w:rsid w:val="003F1C4C"/>
    <w:rsid w:val="003F4991"/>
    <w:rsid w:val="003F57F8"/>
    <w:rsid w:val="004004A2"/>
    <w:rsid w:val="004022F1"/>
    <w:rsid w:val="00402BEB"/>
    <w:rsid w:val="004066EF"/>
    <w:rsid w:val="00410215"/>
    <w:rsid w:val="00415853"/>
    <w:rsid w:val="00421AD3"/>
    <w:rsid w:val="004263CB"/>
    <w:rsid w:val="00426AC3"/>
    <w:rsid w:val="00426DDD"/>
    <w:rsid w:val="00437685"/>
    <w:rsid w:val="0044103D"/>
    <w:rsid w:val="004417BF"/>
    <w:rsid w:val="00451295"/>
    <w:rsid w:val="004561C4"/>
    <w:rsid w:val="0046299C"/>
    <w:rsid w:val="004634C9"/>
    <w:rsid w:val="00465000"/>
    <w:rsid w:val="004701D3"/>
    <w:rsid w:val="004703DE"/>
    <w:rsid w:val="00471CA3"/>
    <w:rsid w:val="004753BD"/>
    <w:rsid w:val="004757A3"/>
    <w:rsid w:val="00475F0D"/>
    <w:rsid w:val="00476453"/>
    <w:rsid w:val="00476FCE"/>
    <w:rsid w:val="0048153F"/>
    <w:rsid w:val="004844A3"/>
    <w:rsid w:val="00484C3E"/>
    <w:rsid w:val="00487EC6"/>
    <w:rsid w:val="00492AB4"/>
    <w:rsid w:val="00497926"/>
    <w:rsid w:val="004A0B81"/>
    <w:rsid w:val="004A296B"/>
    <w:rsid w:val="004A621D"/>
    <w:rsid w:val="004A7636"/>
    <w:rsid w:val="004B2433"/>
    <w:rsid w:val="004B3D4D"/>
    <w:rsid w:val="004B5908"/>
    <w:rsid w:val="004B68ED"/>
    <w:rsid w:val="004C04FB"/>
    <w:rsid w:val="004C33E4"/>
    <w:rsid w:val="004D14F8"/>
    <w:rsid w:val="004D1F6D"/>
    <w:rsid w:val="004D4049"/>
    <w:rsid w:val="004D7B60"/>
    <w:rsid w:val="004E0112"/>
    <w:rsid w:val="004E3C0E"/>
    <w:rsid w:val="004E5971"/>
    <w:rsid w:val="004E6328"/>
    <w:rsid w:val="004F0E0A"/>
    <w:rsid w:val="004F1436"/>
    <w:rsid w:val="004F1652"/>
    <w:rsid w:val="004F1FAC"/>
    <w:rsid w:val="004F444B"/>
    <w:rsid w:val="00500A2B"/>
    <w:rsid w:val="00501C0F"/>
    <w:rsid w:val="0050351B"/>
    <w:rsid w:val="00507D65"/>
    <w:rsid w:val="00510634"/>
    <w:rsid w:val="00512F4B"/>
    <w:rsid w:val="00513D26"/>
    <w:rsid w:val="0051478E"/>
    <w:rsid w:val="00514912"/>
    <w:rsid w:val="00517930"/>
    <w:rsid w:val="005271A5"/>
    <w:rsid w:val="0052738C"/>
    <w:rsid w:val="0053253F"/>
    <w:rsid w:val="00533111"/>
    <w:rsid w:val="00533CF2"/>
    <w:rsid w:val="005342AA"/>
    <w:rsid w:val="00541D35"/>
    <w:rsid w:val="0054679B"/>
    <w:rsid w:val="005504C9"/>
    <w:rsid w:val="00555263"/>
    <w:rsid w:val="0055729F"/>
    <w:rsid w:val="005676C0"/>
    <w:rsid w:val="0057287B"/>
    <w:rsid w:val="00580661"/>
    <w:rsid w:val="00581804"/>
    <w:rsid w:val="00581833"/>
    <w:rsid w:val="0058183A"/>
    <w:rsid w:val="00585405"/>
    <w:rsid w:val="005873B1"/>
    <w:rsid w:val="005877C7"/>
    <w:rsid w:val="0059391E"/>
    <w:rsid w:val="005A182B"/>
    <w:rsid w:val="005A6F8A"/>
    <w:rsid w:val="005A7F1C"/>
    <w:rsid w:val="005B0DDB"/>
    <w:rsid w:val="005B178D"/>
    <w:rsid w:val="005B2A19"/>
    <w:rsid w:val="005B320C"/>
    <w:rsid w:val="005B5100"/>
    <w:rsid w:val="005C438E"/>
    <w:rsid w:val="005C4B3F"/>
    <w:rsid w:val="005C7F9E"/>
    <w:rsid w:val="005D1278"/>
    <w:rsid w:val="005D26D9"/>
    <w:rsid w:val="005D7413"/>
    <w:rsid w:val="005E0BB7"/>
    <w:rsid w:val="005E6D47"/>
    <w:rsid w:val="005F7509"/>
    <w:rsid w:val="006053BC"/>
    <w:rsid w:val="0061008A"/>
    <w:rsid w:val="00614A8B"/>
    <w:rsid w:val="0061569B"/>
    <w:rsid w:val="00621276"/>
    <w:rsid w:val="006325E7"/>
    <w:rsid w:val="006350C0"/>
    <w:rsid w:val="006355F1"/>
    <w:rsid w:val="0063627A"/>
    <w:rsid w:val="00636B32"/>
    <w:rsid w:val="00643D69"/>
    <w:rsid w:val="00644E77"/>
    <w:rsid w:val="00647D91"/>
    <w:rsid w:val="006522AD"/>
    <w:rsid w:val="00652B86"/>
    <w:rsid w:val="00653817"/>
    <w:rsid w:val="00654D42"/>
    <w:rsid w:val="00657A60"/>
    <w:rsid w:val="00661D28"/>
    <w:rsid w:val="0066240C"/>
    <w:rsid w:val="00665E87"/>
    <w:rsid w:val="00666D34"/>
    <w:rsid w:val="00671CE0"/>
    <w:rsid w:val="006833BD"/>
    <w:rsid w:val="006855A7"/>
    <w:rsid w:val="006875CF"/>
    <w:rsid w:val="00692627"/>
    <w:rsid w:val="00692B0B"/>
    <w:rsid w:val="006943A6"/>
    <w:rsid w:val="0069715D"/>
    <w:rsid w:val="006A317F"/>
    <w:rsid w:val="006B0F59"/>
    <w:rsid w:val="006B1B89"/>
    <w:rsid w:val="006B3201"/>
    <w:rsid w:val="006C4865"/>
    <w:rsid w:val="006C621E"/>
    <w:rsid w:val="006C7983"/>
    <w:rsid w:val="006E00FE"/>
    <w:rsid w:val="006E17E9"/>
    <w:rsid w:val="006F28DB"/>
    <w:rsid w:val="006F3417"/>
    <w:rsid w:val="006F4068"/>
    <w:rsid w:val="006F522F"/>
    <w:rsid w:val="006F6702"/>
    <w:rsid w:val="006F6810"/>
    <w:rsid w:val="006F7099"/>
    <w:rsid w:val="007007B0"/>
    <w:rsid w:val="007010EB"/>
    <w:rsid w:val="00702FA4"/>
    <w:rsid w:val="007035E6"/>
    <w:rsid w:val="00710788"/>
    <w:rsid w:val="00710F60"/>
    <w:rsid w:val="00713128"/>
    <w:rsid w:val="0072296E"/>
    <w:rsid w:val="007256FF"/>
    <w:rsid w:val="00734738"/>
    <w:rsid w:val="0073603D"/>
    <w:rsid w:val="0073704A"/>
    <w:rsid w:val="00740B5D"/>
    <w:rsid w:val="007414A0"/>
    <w:rsid w:val="00746AC1"/>
    <w:rsid w:val="00754146"/>
    <w:rsid w:val="00755CEE"/>
    <w:rsid w:val="0076291B"/>
    <w:rsid w:val="00765B49"/>
    <w:rsid w:val="00771DBD"/>
    <w:rsid w:val="00772376"/>
    <w:rsid w:val="00773C21"/>
    <w:rsid w:val="0077703B"/>
    <w:rsid w:val="00784FE5"/>
    <w:rsid w:val="00785F3A"/>
    <w:rsid w:val="007A044E"/>
    <w:rsid w:val="007A149A"/>
    <w:rsid w:val="007A4BDD"/>
    <w:rsid w:val="007A6927"/>
    <w:rsid w:val="007B3068"/>
    <w:rsid w:val="007C6201"/>
    <w:rsid w:val="007D2A20"/>
    <w:rsid w:val="007D3802"/>
    <w:rsid w:val="007E0147"/>
    <w:rsid w:val="007E2716"/>
    <w:rsid w:val="007E34C5"/>
    <w:rsid w:val="007E3D3F"/>
    <w:rsid w:val="007E4510"/>
    <w:rsid w:val="007E5719"/>
    <w:rsid w:val="008056A1"/>
    <w:rsid w:val="00806B85"/>
    <w:rsid w:val="0081123F"/>
    <w:rsid w:val="008233B2"/>
    <w:rsid w:val="00824D69"/>
    <w:rsid w:val="00827462"/>
    <w:rsid w:val="00827F9F"/>
    <w:rsid w:val="00831F05"/>
    <w:rsid w:val="0083304E"/>
    <w:rsid w:val="00847217"/>
    <w:rsid w:val="008476F5"/>
    <w:rsid w:val="00851509"/>
    <w:rsid w:val="00856004"/>
    <w:rsid w:val="00857AAE"/>
    <w:rsid w:val="00863CBD"/>
    <w:rsid w:val="0087520F"/>
    <w:rsid w:val="008832BA"/>
    <w:rsid w:val="0088331B"/>
    <w:rsid w:val="00886778"/>
    <w:rsid w:val="00890C5B"/>
    <w:rsid w:val="00894C12"/>
    <w:rsid w:val="00894E40"/>
    <w:rsid w:val="008951EC"/>
    <w:rsid w:val="008A6E56"/>
    <w:rsid w:val="008A75D9"/>
    <w:rsid w:val="008C7359"/>
    <w:rsid w:val="008D615C"/>
    <w:rsid w:val="008E1066"/>
    <w:rsid w:val="008E1C33"/>
    <w:rsid w:val="00901985"/>
    <w:rsid w:val="00903FAC"/>
    <w:rsid w:val="00905729"/>
    <w:rsid w:val="00906717"/>
    <w:rsid w:val="009235F4"/>
    <w:rsid w:val="0092504C"/>
    <w:rsid w:val="009253A4"/>
    <w:rsid w:val="0092631A"/>
    <w:rsid w:val="00932B44"/>
    <w:rsid w:val="00934BED"/>
    <w:rsid w:val="00935F75"/>
    <w:rsid w:val="00940CF0"/>
    <w:rsid w:val="00943E1D"/>
    <w:rsid w:val="009473AD"/>
    <w:rsid w:val="00950575"/>
    <w:rsid w:val="00952BE1"/>
    <w:rsid w:val="00953F2F"/>
    <w:rsid w:val="00955B5A"/>
    <w:rsid w:val="009661BE"/>
    <w:rsid w:val="00972D25"/>
    <w:rsid w:val="0097323F"/>
    <w:rsid w:val="0097558C"/>
    <w:rsid w:val="009804FE"/>
    <w:rsid w:val="00980788"/>
    <w:rsid w:val="00982237"/>
    <w:rsid w:val="00983C9A"/>
    <w:rsid w:val="00985A59"/>
    <w:rsid w:val="00995A0B"/>
    <w:rsid w:val="009968E0"/>
    <w:rsid w:val="009A1DFD"/>
    <w:rsid w:val="009B046F"/>
    <w:rsid w:val="009B29BC"/>
    <w:rsid w:val="009B5289"/>
    <w:rsid w:val="009B79C2"/>
    <w:rsid w:val="009C1679"/>
    <w:rsid w:val="009C24B2"/>
    <w:rsid w:val="009C31D5"/>
    <w:rsid w:val="009C46FB"/>
    <w:rsid w:val="009C5413"/>
    <w:rsid w:val="009C5830"/>
    <w:rsid w:val="009C66C4"/>
    <w:rsid w:val="009D0BD5"/>
    <w:rsid w:val="009D77D6"/>
    <w:rsid w:val="009E49BA"/>
    <w:rsid w:val="009E515C"/>
    <w:rsid w:val="009F6C0C"/>
    <w:rsid w:val="00A0352A"/>
    <w:rsid w:val="00A03A13"/>
    <w:rsid w:val="00A06286"/>
    <w:rsid w:val="00A0660D"/>
    <w:rsid w:val="00A06A85"/>
    <w:rsid w:val="00A074EB"/>
    <w:rsid w:val="00A11BBE"/>
    <w:rsid w:val="00A2027A"/>
    <w:rsid w:val="00A23DFA"/>
    <w:rsid w:val="00A2643E"/>
    <w:rsid w:val="00A2700F"/>
    <w:rsid w:val="00A30183"/>
    <w:rsid w:val="00A30E7B"/>
    <w:rsid w:val="00A34E9B"/>
    <w:rsid w:val="00A37780"/>
    <w:rsid w:val="00A3788B"/>
    <w:rsid w:val="00A40315"/>
    <w:rsid w:val="00A443BF"/>
    <w:rsid w:val="00A47DD2"/>
    <w:rsid w:val="00A51763"/>
    <w:rsid w:val="00A524C2"/>
    <w:rsid w:val="00A527EF"/>
    <w:rsid w:val="00A550D6"/>
    <w:rsid w:val="00A71133"/>
    <w:rsid w:val="00A765A2"/>
    <w:rsid w:val="00A82187"/>
    <w:rsid w:val="00A83DA8"/>
    <w:rsid w:val="00A87ACF"/>
    <w:rsid w:val="00A908BD"/>
    <w:rsid w:val="00A97A14"/>
    <w:rsid w:val="00AA1CC4"/>
    <w:rsid w:val="00AA2B0C"/>
    <w:rsid w:val="00AB2579"/>
    <w:rsid w:val="00AB342F"/>
    <w:rsid w:val="00AB410D"/>
    <w:rsid w:val="00AB49EC"/>
    <w:rsid w:val="00AC16DE"/>
    <w:rsid w:val="00AC1E03"/>
    <w:rsid w:val="00AC5B23"/>
    <w:rsid w:val="00AD656E"/>
    <w:rsid w:val="00AE2D68"/>
    <w:rsid w:val="00AE51F4"/>
    <w:rsid w:val="00AE582B"/>
    <w:rsid w:val="00AE7A2E"/>
    <w:rsid w:val="00AF0433"/>
    <w:rsid w:val="00B009DC"/>
    <w:rsid w:val="00B03515"/>
    <w:rsid w:val="00B045F8"/>
    <w:rsid w:val="00B064ED"/>
    <w:rsid w:val="00B06585"/>
    <w:rsid w:val="00B17B59"/>
    <w:rsid w:val="00B20236"/>
    <w:rsid w:val="00B20BA9"/>
    <w:rsid w:val="00B317D8"/>
    <w:rsid w:val="00B31C37"/>
    <w:rsid w:val="00B31CD9"/>
    <w:rsid w:val="00B435E4"/>
    <w:rsid w:val="00B4450C"/>
    <w:rsid w:val="00B4630F"/>
    <w:rsid w:val="00B46E5F"/>
    <w:rsid w:val="00B61434"/>
    <w:rsid w:val="00B6272B"/>
    <w:rsid w:val="00B62787"/>
    <w:rsid w:val="00B63B7C"/>
    <w:rsid w:val="00B64107"/>
    <w:rsid w:val="00B65D07"/>
    <w:rsid w:val="00B712CE"/>
    <w:rsid w:val="00B77EF4"/>
    <w:rsid w:val="00B80D58"/>
    <w:rsid w:val="00B80EEA"/>
    <w:rsid w:val="00B8112A"/>
    <w:rsid w:val="00B83014"/>
    <w:rsid w:val="00B83A65"/>
    <w:rsid w:val="00B9089C"/>
    <w:rsid w:val="00B95958"/>
    <w:rsid w:val="00B9734A"/>
    <w:rsid w:val="00B97863"/>
    <w:rsid w:val="00BB135B"/>
    <w:rsid w:val="00BB6F71"/>
    <w:rsid w:val="00BC28F8"/>
    <w:rsid w:val="00BC2A0C"/>
    <w:rsid w:val="00BC34EC"/>
    <w:rsid w:val="00BC4718"/>
    <w:rsid w:val="00BD08EE"/>
    <w:rsid w:val="00BD1094"/>
    <w:rsid w:val="00BD6ADE"/>
    <w:rsid w:val="00BE4B2E"/>
    <w:rsid w:val="00BE70BE"/>
    <w:rsid w:val="00BF1405"/>
    <w:rsid w:val="00BF6A9B"/>
    <w:rsid w:val="00C03191"/>
    <w:rsid w:val="00C072D6"/>
    <w:rsid w:val="00C12905"/>
    <w:rsid w:val="00C2080D"/>
    <w:rsid w:val="00C20CE6"/>
    <w:rsid w:val="00C20D8B"/>
    <w:rsid w:val="00C2601D"/>
    <w:rsid w:val="00C32B67"/>
    <w:rsid w:val="00C33781"/>
    <w:rsid w:val="00C34049"/>
    <w:rsid w:val="00C34901"/>
    <w:rsid w:val="00C36893"/>
    <w:rsid w:val="00C3798F"/>
    <w:rsid w:val="00C42A36"/>
    <w:rsid w:val="00C473CD"/>
    <w:rsid w:val="00C50D4A"/>
    <w:rsid w:val="00C517B8"/>
    <w:rsid w:val="00C52203"/>
    <w:rsid w:val="00C53A3F"/>
    <w:rsid w:val="00C6430C"/>
    <w:rsid w:val="00C70006"/>
    <w:rsid w:val="00C734F3"/>
    <w:rsid w:val="00C85C2C"/>
    <w:rsid w:val="00C86C9D"/>
    <w:rsid w:val="00C87500"/>
    <w:rsid w:val="00C94378"/>
    <w:rsid w:val="00C95C44"/>
    <w:rsid w:val="00C96135"/>
    <w:rsid w:val="00C9626F"/>
    <w:rsid w:val="00CA0CD4"/>
    <w:rsid w:val="00CA1185"/>
    <w:rsid w:val="00CA1C83"/>
    <w:rsid w:val="00CA4FB4"/>
    <w:rsid w:val="00CA52EE"/>
    <w:rsid w:val="00CA7E29"/>
    <w:rsid w:val="00CB0591"/>
    <w:rsid w:val="00CB5767"/>
    <w:rsid w:val="00CC4AED"/>
    <w:rsid w:val="00CC6CB0"/>
    <w:rsid w:val="00CC798F"/>
    <w:rsid w:val="00CD115E"/>
    <w:rsid w:val="00CD11DA"/>
    <w:rsid w:val="00CD1F7B"/>
    <w:rsid w:val="00CD2250"/>
    <w:rsid w:val="00CD339E"/>
    <w:rsid w:val="00CD4B20"/>
    <w:rsid w:val="00CD70DA"/>
    <w:rsid w:val="00CE207F"/>
    <w:rsid w:val="00CE6F57"/>
    <w:rsid w:val="00CF00A6"/>
    <w:rsid w:val="00CF529E"/>
    <w:rsid w:val="00D00A0D"/>
    <w:rsid w:val="00D12639"/>
    <w:rsid w:val="00D13815"/>
    <w:rsid w:val="00D14341"/>
    <w:rsid w:val="00D153A4"/>
    <w:rsid w:val="00D170EA"/>
    <w:rsid w:val="00D2332B"/>
    <w:rsid w:val="00D25BFC"/>
    <w:rsid w:val="00D33851"/>
    <w:rsid w:val="00D33FFE"/>
    <w:rsid w:val="00D355A0"/>
    <w:rsid w:val="00D415A7"/>
    <w:rsid w:val="00D445FC"/>
    <w:rsid w:val="00D47A5A"/>
    <w:rsid w:val="00D545AB"/>
    <w:rsid w:val="00D56845"/>
    <w:rsid w:val="00D614E4"/>
    <w:rsid w:val="00D74368"/>
    <w:rsid w:val="00D7532A"/>
    <w:rsid w:val="00D75850"/>
    <w:rsid w:val="00D9004F"/>
    <w:rsid w:val="00D902F6"/>
    <w:rsid w:val="00D93222"/>
    <w:rsid w:val="00D9610E"/>
    <w:rsid w:val="00DA021A"/>
    <w:rsid w:val="00DA635F"/>
    <w:rsid w:val="00DB2CEC"/>
    <w:rsid w:val="00DB3CD6"/>
    <w:rsid w:val="00DB74F6"/>
    <w:rsid w:val="00DC1F4D"/>
    <w:rsid w:val="00DC38C0"/>
    <w:rsid w:val="00DC40F3"/>
    <w:rsid w:val="00DC4E68"/>
    <w:rsid w:val="00DC6A9D"/>
    <w:rsid w:val="00DD39F8"/>
    <w:rsid w:val="00DE0308"/>
    <w:rsid w:val="00DE40D9"/>
    <w:rsid w:val="00DE4973"/>
    <w:rsid w:val="00DE5339"/>
    <w:rsid w:val="00DE6267"/>
    <w:rsid w:val="00DF3EC0"/>
    <w:rsid w:val="00DF3F21"/>
    <w:rsid w:val="00DF45F6"/>
    <w:rsid w:val="00DF45FC"/>
    <w:rsid w:val="00E0419F"/>
    <w:rsid w:val="00E053A9"/>
    <w:rsid w:val="00E05A34"/>
    <w:rsid w:val="00E064BE"/>
    <w:rsid w:val="00E13B5E"/>
    <w:rsid w:val="00E178B2"/>
    <w:rsid w:val="00E17EC6"/>
    <w:rsid w:val="00E21F08"/>
    <w:rsid w:val="00E230B8"/>
    <w:rsid w:val="00E23192"/>
    <w:rsid w:val="00E241E5"/>
    <w:rsid w:val="00E24D96"/>
    <w:rsid w:val="00E360F8"/>
    <w:rsid w:val="00E50125"/>
    <w:rsid w:val="00E51C2D"/>
    <w:rsid w:val="00E546DB"/>
    <w:rsid w:val="00E6101C"/>
    <w:rsid w:val="00E640A5"/>
    <w:rsid w:val="00E65E82"/>
    <w:rsid w:val="00E71BB7"/>
    <w:rsid w:val="00E76B74"/>
    <w:rsid w:val="00E76CFE"/>
    <w:rsid w:val="00E82BC1"/>
    <w:rsid w:val="00E84358"/>
    <w:rsid w:val="00E84D0A"/>
    <w:rsid w:val="00E84DE9"/>
    <w:rsid w:val="00E903E7"/>
    <w:rsid w:val="00EA2635"/>
    <w:rsid w:val="00EA3D37"/>
    <w:rsid w:val="00EA43DE"/>
    <w:rsid w:val="00EA602F"/>
    <w:rsid w:val="00EA7DF3"/>
    <w:rsid w:val="00EB1086"/>
    <w:rsid w:val="00EB19F9"/>
    <w:rsid w:val="00EB2076"/>
    <w:rsid w:val="00EC152E"/>
    <w:rsid w:val="00EC240C"/>
    <w:rsid w:val="00EC2E5D"/>
    <w:rsid w:val="00EC327A"/>
    <w:rsid w:val="00EC6C11"/>
    <w:rsid w:val="00ED25C0"/>
    <w:rsid w:val="00ED3F1F"/>
    <w:rsid w:val="00EE0374"/>
    <w:rsid w:val="00EE07B4"/>
    <w:rsid w:val="00EE27B2"/>
    <w:rsid w:val="00EE6F90"/>
    <w:rsid w:val="00EF006C"/>
    <w:rsid w:val="00F0333B"/>
    <w:rsid w:val="00F10CDD"/>
    <w:rsid w:val="00F1374C"/>
    <w:rsid w:val="00F225E7"/>
    <w:rsid w:val="00F244A9"/>
    <w:rsid w:val="00F25479"/>
    <w:rsid w:val="00F27090"/>
    <w:rsid w:val="00F270A5"/>
    <w:rsid w:val="00F320E5"/>
    <w:rsid w:val="00F412AE"/>
    <w:rsid w:val="00F42E7A"/>
    <w:rsid w:val="00F445E9"/>
    <w:rsid w:val="00F5091E"/>
    <w:rsid w:val="00F607D7"/>
    <w:rsid w:val="00F6593A"/>
    <w:rsid w:val="00F679BB"/>
    <w:rsid w:val="00F87D41"/>
    <w:rsid w:val="00F92D36"/>
    <w:rsid w:val="00F9389F"/>
    <w:rsid w:val="00F97947"/>
    <w:rsid w:val="00FA29AD"/>
    <w:rsid w:val="00FA2AB0"/>
    <w:rsid w:val="00FB4871"/>
    <w:rsid w:val="00FB7128"/>
    <w:rsid w:val="00FC6493"/>
    <w:rsid w:val="00FC7300"/>
    <w:rsid w:val="00FD156F"/>
    <w:rsid w:val="00FD17F8"/>
    <w:rsid w:val="00FE05A5"/>
    <w:rsid w:val="00FE2D44"/>
    <w:rsid w:val="00FF1A07"/>
    <w:rsid w:val="00FF4589"/>
    <w:rsid w:val="00FF71FD"/>
    <w:rsid w:val="03448817"/>
    <w:rsid w:val="0515C368"/>
    <w:rsid w:val="0542F3BB"/>
    <w:rsid w:val="06F50DB6"/>
    <w:rsid w:val="075196F8"/>
    <w:rsid w:val="07C658F1"/>
    <w:rsid w:val="091DFB8C"/>
    <w:rsid w:val="0A7C8E8E"/>
    <w:rsid w:val="0D32C42B"/>
    <w:rsid w:val="0D33FB3A"/>
    <w:rsid w:val="0EDDFB89"/>
    <w:rsid w:val="108CE034"/>
    <w:rsid w:val="112867E3"/>
    <w:rsid w:val="171AA6EA"/>
    <w:rsid w:val="1805E4DF"/>
    <w:rsid w:val="1C3C5540"/>
    <w:rsid w:val="1FDA9461"/>
    <w:rsid w:val="220D4FF4"/>
    <w:rsid w:val="2987ADB3"/>
    <w:rsid w:val="2B1D906E"/>
    <w:rsid w:val="2D393618"/>
    <w:rsid w:val="31F04E13"/>
    <w:rsid w:val="33DEF63B"/>
    <w:rsid w:val="34134F72"/>
    <w:rsid w:val="3F2425ED"/>
    <w:rsid w:val="3FC870CB"/>
    <w:rsid w:val="42204442"/>
    <w:rsid w:val="4301253C"/>
    <w:rsid w:val="43628797"/>
    <w:rsid w:val="49E8B425"/>
    <w:rsid w:val="4A21686B"/>
    <w:rsid w:val="4A47764B"/>
    <w:rsid w:val="4BD7A95C"/>
    <w:rsid w:val="4BF43D19"/>
    <w:rsid w:val="4DAEBEBC"/>
    <w:rsid w:val="4E6FA675"/>
    <w:rsid w:val="4E9A9429"/>
    <w:rsid w:val="50767ADB"/>
    <w:rsid w:val="50E65F7E"/>
    <w:rsid w:val="52822FDF"/>
    <w:rsid w:val="541E0040"/>
    <w:rsid w:val="56C570C5"/>
    <w:rsid w:val="57BB30E9"/>
    <w:rsid w:val="5A8D41C4"/>
    <w:rsid w:val="5ED70E6F"/>
    <w:rsid w:val="6021BE5D"/>
    <w:rsid w:val="66533B43"/>
    <w:rsid w:val="6795CD4D"/>
    <w:rsid w:val="68465F62"/>
    <w:rsid w:val="6B60F348"/>
    <w:rsid w:val="6D3ACA2C"/>
    <w:rsid w:val="71C1BC7C"/>
    <w:rsid w:val="730A1D9E"/>
    <w:rsid w:val="73DD6226"/>
    <w:rsid w:val="78CE3169"/>
    <w:rsid w:val="79C9EAF9"/>
    <w:rsid w:val="7E13BA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181A0A"/>
  <w15:chartTrackingRefBased/>
  <w15:docId w15:val="{321AAFB2-C670-41E8-9D15-6B5F73994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B0C"/>
    <w:pPr>
      <w:overflowPunct w:val="0"/>
      <w:autoSpaceDE w:val="0"/>
      <w:autoSpaceDN w:val="0"/>
      <w:adjustRightInd w:val="0"/>
      <w:jc w:val="both"/>
      <w:textAlignment w:val="baseline"/>
    </w:pPr>
    <w:rPr>
      <w:rFonts w:ascii="Arial" w:hAnsi="Arial"/>
      <w:lang w:eastAsia="en-US"/>
    </w:rPr>
  </w:style>
  <w:style w:type="paragraph" w:styleId="Heading3">
    <w:name w:val="heading 3"/>
    <w:basedOn w:val="Normal"/>
    <w:next w:val="Normal"/>
    <w:link w:val="Heading3Char"/>
    <w:uiPriority w:val="9"/>
    <w:semiHidden/>
    <w:unhideWhenUsed/>
    <w:qFormat/>
    <w:rsid w:val="00297D9F"/>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qFormat/>
    <w:rsid w:val="00F0333B"/>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00FE"/>
    <w:pPr>
      <w:tabs>
        <w:tab w:val="center" w:pos="4153"/>
        <w:tab w:val="right" w:pos="8306"/>
      </w:tabs>
    </w:pPr>
  </w:style>
  <w:style w:type="paragraph" w:styleId="Footer">
    <w:name w:val="footer"/>
    <w:basedOn w:val="Normal"/>
    <w:link w:val="FooterChar"/>
    <w:uiPriority w:val="99"/>
    <w:rsid w:val="006E00FE"/>
    <w:pPr>
      <w:tabs>
        <w:tab w:val="center" w:pos="4153"/>
        <w:tab w:val="right" w:pos="8306"/>
      </w:tabs>
    </w:pPr>
  </w:style>
  <w:style w:type="table" w:styleId="TableGrid">
    <w:name w:val="Table Grid"/>
    <w:basedOn w:val="TableNormal"/>
    <w:rsid w:val="00FA2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SheetText">
    <w:name w:val="Data Sheet Text"/>
    <w:basedOn w:val="Normal"/>
    <w:link w:val="DataSheetTextChar"/>
    <w:rsid w:val="00F0333B"/>
    <w:pPr>
      <w:overflowPunct/>
      <w:autoSpaceDE/>
      <w:autoSpaceDN/>
      <w:adjustRightInd/>
      <w:spacing w:line="240" w:lineRule="exact"/>
      <w:jc w:val="left"/>
      <w:textAlignment w:val="auto"/>
    </w:pPr>
    <w:rPr>
      <w:rFonts w:ascii="Verdana" w:hAnsi="Verdana"/>
      <w:sz w:val="18"/>
      <w:lang w:val="en-US"/>
    </w:rPr>
  </w:style>
  <w:style w:type="character" w:customStyle="1" w:styleId="DataSheetTextChar">
    <w:name w:val="Data Sheet Text Char"/>
    <w:link w:val="DataSheetText"/>
    <w:rsid w:val="00F0333B"/>
    <w:rPr>
      <w:rFonts w:ascii="Verdana" w:hAnsi="Verdana"/>
      <w:sz w:val="18"/>
      <w:lang w:val="en-US" w:eastAsia="en-US" w:bidi="ar-SA"/>
    </w:rPr>
  </w:style>
  <w:style w:type="paragraph" w:customStyle="1" w:styleId="DataSheetTextBold">
    <w:name w:val="Data Sheet Text Bold"/>
    <w:basedOn w:val="DataSheetText"/>
    <w:rsid w:val="00F0333B"/>
    <w:rPr>
      <w:b/>
      <w:szCs w:val="18"/>
    </w:rPr>
  </w:style>
  <w:style w:type="paragraph" w:customStyle="1" w:styleId="DataSheetItalics">
    <w:name w:val="Data Sheet Italics"/>
    <w:basedOn w:val="DataSheetText"/>
    <w:link w:val="DataSheetItalicsChar"/>
    <w:rsid w:val="00F0333B"/>
    <w:rPr>
      <w:i/>
      <w:iCs/>
    </w:rPr>
  </w:style>
  <w:style w:type="character" w:customStyle="1" w:styleId="DataSheetItalicsChar">
    <w:name w:val="Data Sheet Italics Char"/>
    <w:link w:val="DataSheetItalics"/>
    <w:rsid w:val="00F0333B"/>
    <w:rPr>
      <w:rFonts w:ascii="Verdana" w:hAnsi="Verdana"/>
      <w:i/>
      <w:iCs/>
      <w:sz w:val="18"/>
      <w:lang w:val="en-US" w:eastAsia="en-US" w:bidi="ar-SA"/>
    </w:rPr>
  </w:style>
  <w:style w:type="paragraph" w:customStyle="1" w:styleId="DataSheetHeadings">
    <w:name w:val="Data Sheet Headings"/>
    <w:basedOn w:val="Heading4"/>
    <w:rsid w:val="00F0333B"/>
    <w:pPr>
      <w:overflowPunct/>
      <w:autoSpaceDE/>
      <w:autoSpaceDN/>
      <w:adjustRightInd/>
      <w:spacing w:before="120" w:after="80" w:line="260" w:lineRule="exact"/>
      <w:ind w:left="822" w:hanging="822"/>
      <w:jc w:val="left"/>
      <w:textAlignment w:val="auto"/>
    </w:pPr>
    <w:rPr>
      <w:rFonts w:ascii="Verdana" w:hAnsi="Verdana"/>
      <w:sz w:val="18"/>
      <w:szCs w:val="20"/>
      <w:lang w:val="en-US"/>
    </w:rPr>
  </w:style>
  <w:style w:type="character" w:styleId="PageNumber">
    <w:name w:val="page number"/>
    <w:basedOn w:val="DefaultParagraphFont"/>
    <w:rsid w:val="00F0333B"/>
  </w:style>
  <w:style w:type="character" w:customStyle="1" w:styleId="FooterChar">
    <w:name w:val="Footer Char"/>
    <w:link w:val="Footer"/>
    <w:uiPriority w:val="99"/>
    <w:rsid w:val="00856004"/>
    <w:rPr>
      <w:sz w:val="24"/>
      <w:lang w:eastAsia="en-US"/>
    </w:rPr>
  </w:style>
  <w:style w:type="paragraph" w:styleId="Caption">
    <w:name w:val="caption"/>
    <w:aliases w:val="Caption for photos,figures &amp; diagrams"/>
    <w:basedOn w:val="Normal"/>
    <w:next w:val="Normal"/>
    <w:uiPriority w:val="35"/>
    <w:qFormat/>
    <w:rsid w:val="00E0419F"/>
    <w:pPr>
      <w:overflowPunct/>
      <w:autoSpaceDE/>
      <w:autoSpaceDN/>
      <w:adjustRightInd/>
      <w:spacing w:after="120"/>
      <w:ind w:left="1134"/>
      <w:jc w:val="left"/>
      <w:textAlignment w:val="auto"/>
    </w:pPr>
    <w:rPr>
      <w:rFonts w:ascii="Garamond" w:hAnsi="Garamond" w:cs="Arial"/>
      <w:i/>
      <w:szCs w:val="22"/>
      <w:lang w:eastAsia="en-AU"/>
    </w:rPr>
  </w:style>
  <w:style w:type="character" w:styleId="CommentReference">
    <w:name w:val="annotation reference"/>
    <w:uiPriority w:val="99"/>
    <w:semiHidden/>
    <w:unhideWhenUsed/>
    <w:rsid w:val="00A87ACF"/>
    <w:rPr>
      <w:sz w:val="16"/>
      <w:szCs w:val="16"/>
    </w:rPr>
  </w:style>
  <w:style w:type="paragraph" w:styleId="CommentText">
    <w:name w:val="annotation text"/>
    <w:basedOn w:val="Normal"/>
    <w:link w:val="CommentTextChar"/>
    <w:uiPriority w:val="99"/>
    <w:unhideWhenUsed/>
    <w:rsid w:val="00A87ACF"/>
  </w:style>
  <w:style w:type="character" w:customStyle="1" w:styleId="CommentTextChar">
    <w:name w:val="Comment Text Char"/>
    <w:link w:val="CommentText"/>
    <w:uiPriority w:val="99"/>
    <w:rsid w:val="00A87ACF"/>
    <w:rPr>
      <w:lang w:val="en-AU"/>
    </w:rPr>
  </w:style>
  <w:style w:type="paragraph" w:styleId="CommentSubject">
    <w:name w:val="annotation subject"/>
    <w:basedOn w:val="CommentText"/>
    <w:next w:val="CommentText"/>
    <w:link w:val="CommentSubjectChar"/>
    <w:uiPriority w:val="99"/>
    <w:semiHidden/>
    <w:unhideWhenUsed/>
    <w:rsid w:val="00A87ACF"/>
    <w:rPr>
      <w:b/>
      <w:bCs/>
    </w:rPr>
  </w:style>
  <w:style w:type="character" w:customStyle="1" w:styleId="CommentSubjectChar">
    <w:name w:val="Comment Subject Char"/>
    <w:link w:val="CommentSubject"/>
    <w:uiPriority w:val="99"/>
    <w:semiHidden/>
    <w:rsid w:val="00A87ACF"/>
    <w:rPr>
      <w:b/>
      <w:bCs/>
      <w:lang w:val="en-AU"/>
    </w:rPr>
  </w:style>
  <w:style w:type="paragraph" w:styleId="BalloonText">
    <w:name w:val="Balloon Text"/>
    <w:basedOn w:val="Normal"/>
    <w:link w:val="BalloonTextChar"/>
    <w:uiPriority w:val="99"/>
    <w:semiHidden/>
    <w:unhideWhenUsed/>
    <w:rsid w:val="00A87ACF"/>
    <w:rPr>
      <w:rFonts w:ascii="Segoe UI" w:hAnsi="Segoe UI" w:cs="Segoe UI"/>
      <w:sz w:val="18"/>
      <w:szCs w:val="18"/>
    </w:rPr>
  </w:style>
  <w:style w:type="character" w:customStyle="1" w:styleId="BalloonTextChar">
    <w:name w:val="Balloon Text Char"/>
    <w:link w:val="BalloonText"/>
    <w:uiPriority w:val="99"/>
    <w:semiHidden/>
    <w:rsid w:val="00A87ACF"/>
    <w:rPr>
      <w:rFonts w:ascii="Segoe UI" w:hAnsi="Segoe UI" w:cs="Segoe UI"/>
      <w:sz w:val="18"/>
      <w:szCs w:val="18"/>
      <w:lang w:val="en-AU"/>
    </w:rPr>
  </w:style>
  <w:style w:type="paragraph" w:customStyle="1" w:styleId="Default">
    <w:name w:val="Default"/>
    <w:rsid w:val="0034382D"/>
    <w:pPr>
      <w:autoSpaceDE w:val="0"/>
      <w:autoSpaceDN w:val="0"/>
      <w:adjustRightInd w:val="0"/>
    </w:pPr>
    <w:rPr>
      <w:rFonts w:ascii="Arial" w:hAnsi="Arial" w:cs="Arial"/>
      <w:color w:val="000000"/>
      <w:sz w:val="24"/>
      <w:szCs w:val="24"/>
      <w:lang w:val="en-US"/>
    </w:rPr>
  </w:style>
  <w:style w:type="paragraph" w:styleId="FootnoteText">
    <w:name w:val="footnote text"/>
    <w:basedOn w:val="Normal"/>
    <w:link w:val="FootnoteTextChar"/>
    <w:uiPriority w:val="99"/>
    <w:semiHidden/>
    <w:unhideWhenUsed/>
    <w:rsid w:val="00F445E9"/>
  </w:style>
  <w:style w:type="character" w:customStyle="1" w:styleId="FootnoteTextChar">
    <w:name w:val="Footnote Text Char"/>
    <w:basedOn w:val="DefaultParagraphFont"/>
    <w:link w:val="FootnoteText"/>
    <w:uiPriority w:val="99"/>
    <w:semiHidden/>
    <w:rsid w:val="00F445E9"/>
    <w:rPr>
      <w:lang w:eastAsia="en-US"/>
    </w:rPr>
  </w:style>
  <w:style w:type="character" w:styleId="FootnoteReference">
    <w:name w:val="footnote reference"/>
    <w:basedOn w:val="DefaultParagraphFont"/>
    <w:uiPriority w:val="99"/>
    <w:semiHidden/>
    <w:unhideWhenUsed/>
    <w:rsid w:val="00F445E9"/>
    <w:rPr>
      <w:vertAlign w:val="superscript"/>
    </w:rPr>
  </w:style>
  <w:style w:type="character" w:customStyle="1" w:styleId="Heading3Char">
    <w:name w:val="Heading 3 Char"/>
    <w:basedOn w:val="DefaultParagraphFont"/>
    <w:link w:val="Heading3"/>
    <w:uiPriority w:val="9"/>
    <w:semiHidden/>
    <w:rsid w:val="00297D9F"/>
    <w:rPr>
      <w:rFonts w:asciiTheme="majorHAnsi" w:eastAsiaTheme="majorEastAsia" w:hAnsiTheme="majorHAnsi" w:cstheme="majorBidi"/>
      <w:color w:val="1F4D78" w:themeColor="accent1" w:themeShade="7F"/>
      <w:sz w:val="24"/>
      <w:szCs w:val="24"/>
      <w:lang w:eastAsia="en-US"/>
    </w:rPr>
  </w:style>
  <w:style w:type="character" w:styleId="Hyperlink">
    <w:name w:val="Hyperlink"/>
    <w:basedOn w:val="DefaultParagraphFont"/>
    <w:uiPriority w:val="99"/>
    <w:unhideWhenUsed/>
    <w:rsid w:val="00297D9F"/>
    <w:rPr>
      <w:color w:val="0000FF"/>
      <w:u w:val="single"/>
    </w:rPr>
  </w:style>
  <w:style w:type="character" w:customStyle="1" w:styleId="apple-converted-space">
    <w:name w:val="apple-converted-space"/>
    <w:basedOn w:val="DefaultParagraphFont"/>
    <w:rsid w:val="00297D9F"/>
  </w:style>
  <w:style w:type="character" w:customStyle="1" w:styleId="style-scope">
    <w:name w:val="style-scope"/>
    <w:basedOn w:val="DefaultParagraphFont"/>
    <w:rsid w:val="00297D9F"/>
  </w:style>
  <w:style w:type="paragraph" w:styleId="NormalWeb">
    <w:name w:val="Normal (Web)"/>
    <w:basedOn w:val="Normal"/>
    <w:uiPriority w:val="99"/>
    <w:semiHidden/>
    <w:unhideWhenUsed/>
    <w:rsid w:val="00297D9F"/>
    <w:pPr>
      <w:overflowPunct/>
      <w:autoSpaceDE/>
      <w:autoSpaceDN/>
      <w:adjustRightInd/>
      <w:spacing w:before="100" w:beforeAutospacing="1" w:after="100" w:afterAutospacing="1"/>
      <w:jc w:val="left"/>
      <w:textAlignment w:val="auto"/>
    </w:pPr>
    <w:rPr>
      <w:szCs w:val="24"/>
      <w:lang w:val="en-US"/>
    </w:rPr>
  </w:style>
  <w:style w:type="paragraph" w:styleId="Quote">
    <w:name w:val="Quote"/>
    <w:basedOn w:val="Normal"/>
    <w:next w:val="Normal"/>
    <w:link w:val="QuoteChar"/>
    <w:autoRedefine/>
    <w:uiPriority w:val="73"/>
    <w:qFormat/>
    <w:rsid w:val="001D272A"/>
    <w:pPr>
      <w:ind w:left="720"/>
    </w:pPr>
    <w:rPr>
      <w:i/>
      <w:iCs/>
      <w:color w:val="000000" w:themeColor="text1"/>
      <w:sz w:val="21"/>
    </w:rPr>
  </w:style>
  <w:style w:type="character" w:customStyle="1" w:styleId="QuoteChar">
    <w:name w:val="Quote Char"/>
    <w:basedOn w:val="DefaultParagraphFont"/>
    <w:link w:val="Quote"/>
    <w:uiPriority w:val="73"/>
    <w:rsid w:val="001D272A"/>
    <w:rPr>
      <w:rFonts w:ascii="Arial" w:hAnsi="Arial"/>
      <w:i/>
      <w:iCs/>
      <w:color w:val="000000" w:themeColor="text1"/>
      <w:sz w:val="21"/>
      <w:lang w:eastAsia="en-US"/>
    </w:rPr>
  </w:style>
  <w:style w:type="character" w:customStyle="1" w:styleId="UnresolvedMention">
    <w:name w:val="Unresolved Mention"/>
    <w:basedOn w:val="DefaultParagraphFont"/>
    <w:uiPriority w:val="99"/>
    <w:semiHidden/>
    <w:unhideWhenUsed/>
    <w:rsid w:val="00901985"/>
    <w:rPr>
      <w:color w:val="808080"/>
      <w:shd w:val="clear" w:color="auto" w:fill="E6E6E6"/>
    </w:rPr>
  </w:style>
  <w:style w:type="paragraph" w:styleId="BodyText">
    <w:name w:val="Body Text"/>
    <w:basedOn w:val="Normal"/>
    <w:link w:val="BodyTextChar"/>
    <w:uiPriority w:val="1"/>
    <w:qFormat/>
    <w:rsid w:val="00F9389F"/>
    <w:pPr>
      <w:widowControl w:val="0"/>
      <w:overflowPunct/>
      <w:adjustRightInd/>
      <w:jc w:val="left"/>
      <w:textAlignment w:val="auto"/>
    </w:pPr>
    <w:rPr>
      <w:rFonts w:eastAsia="Arial" w:cs="Arial"/>
      <w:lang w:val="en-US"/>
    </w:rPr>
  </w:style>
  <w:style w:type="character" w:customStyle="1" w:styleId="BodyTextChar">
    <w:name w:val="Body Text Char"/>
    <w:basedOn w:val="DefaultParagraphFont"/>
    <w:link w:val="BodyText"/>
    <w:uiPriority w:val="1"/>
    <w:rsid w:val="00F9389F"/>
    <w:rPr>
      <w:rFonts w:ascii="Arial" w:eastAsia="Arial" w:hAnsi="Arial" w:cs="Arial"/>
      <w:lang w:val="en-US" w:eastAsia="en-US"/>
    </w:rPr>
  </w:style>
  <w:style w:type="character" w:styleId="Emphasis">
    <w:name w:val="Emphasis"/>
    <w:basedOn w:val="DefaultParagraphFont"/>
    <w:uiPriority w:val="20"/>
    <w:qFormat/>
    <w:rsid w:val="00177E99"/>
    <w:rPr>
      <w:i/>
      <w:iCs/>
    </w:rPr>
  </w:style>
  <w:style w:type="paragraph" w:styleId="Revision">
    <w:name w:val="Revision"/>
    <w:hidden/>
    <w:uiPriority w:val="99"/>
    <w:semiHidden/>
    <w:rsid w:val="00E51C2D"/>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2076624">
      <w:bodyDiv w:val="1"/>
      <w:marLeft w:val="0"/>
      <w:marRight w:val="0"/>
      <w:marTop w:val="0"/>
      <w:marBottom w:val="0"/>
      <w:divBdr>
        <w:top w:val="none" w:sz="0" w:space="0" w:color="auto"/>
        <w:left w:val="none" w:sz="0" w:space="0" w:color="auto"/>
        <w:bottom w:val="none" w:sz="0" w:space="0" w:color="auto"/>
        <w:right w:val="none" w:sz="0" w:space="0" w:color="auto"/>
      </w:divBdr>
    </w:div>
    <w:div w:id="1262251891">
      <w:bodyDiv w:val="1"/>
      <w:marLeft w:val="0"/>
      <w:marRight w:val="0"/>
      <w:marTop w:val="0"/>
      <w:marBottom w:val="0"/>
      <w:divBdr>
        <w:top w:val="none" w:sz="0" w:space="0" w:color="auto"/>
        <w:left w:val="none" w:sz="0" w:space="0" w:color="auto"/>
        <w:bottom w:val="none" w:sz="0" w:space="0" w:color="auto"/>
        <w:right w:val="none" w:sz="0" w:space="0" w:color="auto"/>
      </w:divBdr>
      <w:divsChild>
        <w:div w:id="223151593">
          <w:marLeft w:val="0"/>
          <w:marRight w:val="0"/>
          <w:marTop w:val="0"/>
          <w:marBottom w:val="0"/>
          <w:divBdr>
            <w:top w:val="none" w:sz="0" w:space="0" w:color="auto"/>
            <w:left w:val="none" w:sz="0" w:space="0" w:color="auto"/>
            <w:bottom w:val="none" w:sz="0" w:space="0" w:color="auto"/>
            <w:right w:val="none" w:sz="0" w:space="0" w:color="auto"/>
          </w:divBdr>
          <w:divsChild>
            <w:div w:id="1580671015">
              <w:marLeft w:val="0"/>
              <w:marRight w:val="0"/>
              <w:marTop w:val="0"/>
              <w:marBottom w:val="0"/>
              <w:divBdr>
                <w:top w:val="none" w:sz="0" w:space="0" w:color="auto"/>
                <w:left w:val="none" w:sz="0" w:space="0" w:color="auto"/>
                <w:bottom w:val="none" w:sz="0" w:space="0" w:color="auto"/>
                <w:right w:val="none" w:sz="0" w:space="0" w:color="auto"/>
              </w:divBdr>
            </w:div>
          </w:divsChild>
        </w:div>
        <w:div w:id="1398476053">
          <w:marLeft w:val="0"/>
          <w:marRight w:val="0"/>
          <w:marTop w:val="0"/>
          <w:marBottom w:val="0"/>
          <w:divBdr>
            <w:top w:val="none" w:sz="0" w:space="0" w:color="auto"/>
            <w:left w:val="none" w:sz="0" w:space="0" w:color="auto"/>
            <w:bottom w:val="none" w:sz="0" w:space="0" w:color="auto"/>
            <w:right w:val="none" w:sz="0" w:space="0" w:color="auto"/>
          </w:divBdr>
          <w:divsChild>
            <w:div w:id="111482513">
              <w:marLeft w:val="0"/>
              <w:marRight w:val="0"/>
              <w:marTop w:val="0"/>
              <w:marBottom w:val="0"/>
              <w:divBdr>
                <w:top w:val="none" w:sz="0" w:space="0" w:color="auto"/>
                <w:left w:val="none" w:sz="0" w:space="0" w:color="auto"/>
                <w:bottom w:val="none" w:sz="0" w:space="0" w:color="auto"/>
                <w:right w:val="none" w:sz="0" w:space="0" w:color="auto"/>
              </w:divBdr>
            </w:div>
            <w:div w:id="1374497395">
              <w:marLeft w:val="0"/>
              <w:marRight w:val="0"/>
              <w:marTop w:val="0"/>
              <w:marBottom w:val="93"/>
              <w:divBdr>
                <w:top w:val="none" w:sz="0" w:space="0" w:color="auto"/>
                <w:left w:val="none" w:sz="0" w:space="0" w:color="auto"/>
                <w:bottom w:val="none" w:sz="0" w:space="0" w:color="auto"/>
                <w:right w:val="none" w:sz="0" w:space="0" w:color="auto"/>
              </w:divBdr>
              <w:divsChild>
                <w:div w:id="17226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16393">
          <w:marLeft w:val="0"/>
          <w:marRight w:val="0"/>
          <w:marTop w:val="0"/>
          <w:marBottom w:val="0"/>
          <w:divBdr>
            <w:top w:val="none" w:sz="0" w:space="0" w:color="auto"/>
            <w:left w:val="none" w:sz="0" w:space="0" w:color="auto"/>
            <w:bottom w:val="none" w:sz="0" w:space="0" w:color="auto"/>
            <w:right w:val="none" w:sz="0" w:space="0" w:color="auto"/>
          </w:divBdr>
        </w:div>
      </w:divsChild>
    </w:div>
    <w:div w:id="1603144464">
      <w:bodyDiv w:val="1"/>
      <w:marLeft w:val="0"/>
      <w:marRight w:val="0"/>
      <w:marTop w:val="0"/>
      <w:marBottom w:val="0"/>
      <w:divBdr>
        <w:top w:val="none" w:sz="0" w:space="0" w:color="auto"/>
        <w:left w:val="none" w:sz="0" w:space="0" w:color="auto"/>
        <w:bottom w:val="none" w:sz="0" w:space="0" w:color="auto"/>
        <w:right w:val="none" w:sz="0" w:space="0" w:color="auto"/>
      </w:divBdr>
    </w:div>
    <w:div w:id="1668560952">
      <w:bodyDiv w:val="1"/>
      <w:marLeft w:val="0"/>
      <w:marRight w:val="0"/>
      <w:marTop w:val="0"/>
      <w:marBottom w:val="0"/>
      <w:divBdr>
        <w:top w:val="none" w:sz="0" w:space="0" w:color="auto"/>
        <w:left w:val="none" w:sz="0" w:space="0" w:color="auto"/>
        <w:bottom w:val="none" w:sz="0" w:space="0" w:color="auto"/>
        <w:right w:val="none" w:sz="0" w:space="0" w:color="auto"/>
      </w:divBdr>
      <w:divsChild>
        <w:div w:id="689062926">
          <w:marLeft w:val="0"/>
          <w:marRight w:val="0"/>
          <w:marTop w:val="0"/>
          <w:marBottom w:val="0"/>
          <w:divBdr>
            <w:top w:val="none" w:sz="0" w:space="0" w:color="auto"/>
            <w:left w:val="none" w:sz="0" w:space="0" w:color="auto"/>
            <w:bottom w:val="none" w:sz="0" w:space="0" w:color="auto"/>
            <w:right w:val="none" w:sz="0" w:space="0" w:color="auto"/>
          </w:divBdr>
          <w:divsChild>
            <w:div w:id="92672409">
              <w:marLeft w:val="0"/>
              <w:marRight w:val="0"/>
              <w:marTop w:val="0"/>
              <w:marBottom w:val="0"/>
              <w:divBdr>
                <w:top w:val="none" w:sz="0" w:space="0" w:color="auto"/>
                <w:left w:val="none" w:sz="0" w:space="0" w:color="auto"/>
                <w:bottom w:val="none" w:sz="0" w:space="0" w:color="auto"/>
                <w:right w:val="none" w:sz="0" w:space="0" w:color="auto"/>
              </w:divBdr>
              <w:divsChild>
                <w:div w:id="1436900799">
                  <w:marLeft w:val="0"/>
                  <w:marRight w:val="0"/>
                  <w:marTop w:val="0"/>
                  <w:marBottom w:val="0"/>
                  <w:divBdr>
                    <w:top w:val="none" w:sz="0" w:space="0" w:color="auto"/>
                    <w:left w:val="none" w:sz="0" w:space="0" w:color="auto"/>
                    <w:bottom w:val="none" w:sz="0" w:space="0" w:color="auto"/>
                    <w:right w:val="none" w:sz="0" w:space="0" w:color="auto"/>
                  </w:divBdr>
                  <w:divsChild>
                    <w:div w:id="1061247104">
                      <w:marLeft w:val="0"/>
                      <w:marRight w:val="0"/>
                      <w:marTop w:val="0"/>
                      <w:marBottom w:val="0"/>
                      <w:divBdr>
                        <w:top w:val="none" w:sz="0" w:space="0" w:color="auto"/>
                        <w:left w:val="none" w:sz="0" w:space="0" w:color="auto"/>
                        <w:bottom w:val="none" w:sz="0" w:space="0" w:color="auto"/>
                        <w:right w:val="none" w:sz="0" w:space="0" w:color="auto"/>
                      </w:divBdr>
                      <w:divsChild>
                        <w:div w:id="8348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1814">
      <w:bodyDiv w:val="1"/>
      <w:marLeft w:val="0"/>
      <w:marRight w:val="0"/>
      <w:marTop w:val="0"/>
      <w:marBottom w:val="0"/>
      <w:divBdr>
        <w:top w:val="none" w:sz="0" w:space="0" w:color="auto"/>
        <w:left w:val="none" w:sz="0" w:space="0" w:color="auto"/>
        <w:bottom w:val="none" w:sz="0" w:space="0" w:color="auto"/>
        <w:right w:val="none" w:sz="0" w:space="0" w:color="auto"/>
      </w:divBdr>
      <w:divsChild>
        <w:div w:id="512382531">
          <w:marLeft w:val="0"/>
          <w:marRight w:val="0"/>
          <w:marTop w:val="0"/>
          <w:marBottom w:val="0"/>
          <w:divBdr>
            <w:top w:val="none" w:sz="0" w:space="0" w:color="auto"/>
            <w:left w:val="none" w:sz="0" w:space="0" w:color="auto"/>
            <w:bottom w:val="none" w:sz="0" w:space="0" w:color="auto"/>
            <w:right w:val="none" w:sz="0" w:space="0" w:color="auto"/>
          </w:divBdr>
          <w:divsChild>
            <w:div w:id="1176506166">
              <w:marLeft w:val="0"/>
              <w:marRight w:val="0"/>
              <w:marTop w:val="0"/>
              <w:marBottom w:val="0"/>
              <w:divBdr>
                <w:top w:val="none" w:sz="0" w:space="0" w:color="auto"/>
                <w:left w:val="none" w:sz="0" w:space="0" w:color="auto"/>
                <w:bottom w:val="none" w:sz="0" w:space="0" w:color="auto"/>
                <w:right w:val="none" w:sz="0" w:space="0" w:color="auto"/>
              </w:divBdr>
              <w:divsChild>
                <w:div w:id="1959800153">
                  <w:marLeft w:val="0"/>
                  <w:marRight w:val="0"/>
                  <w:marTop w:val="0"/>
                  <w:marBottom w:val="0"/>
                  <w:divBdr>
                    <w:top w:val="none" w:sz="0" w:space="0" w:color="auto"/>
                    <w:left w:val="none" w:sz="0" w:space="0" w:color="auto"/>
                    <w:bottom w:val="none" w:sz="0" w:space="0" w:color="auto"/>
                    <w:right w:val="none" w:sz="0" w:space="0" w:color="auto"/>
                  </w:divBdr>
                  <w:divsChild>
                    <w:div w:id="2020038161">
                      <w:marLeft w:val="0"/>
                      <w:marRight w:val="0"/>
                      <w:marTop w:val="0"/>
                      <w:marBottom w:val="0"/>
                      <w:divBdr>
                        <w:top w:val="none" w:sz="0" w:space="0" w:color="auto"/>
                        <w:left w:val="none" w:sz="0" w:space="0" w:color="auto"/>
                        <w:bottom w:val="none" w:sz="0" w:space="0" w:color="auto"/>
                        <w:right w:val="none" w:sz="0" w:space="0" w:color="auto"/>
                      </w:divBdr>
                      <w:divsChild>
                        <w:div w:id="13406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0530a76fb9e04c81" Type="http://schemas.microsoft.com/office/2019/09/relationships/intelligence" Target="intelligenc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38813c-8383-40ac-aac6-c130ac0789ad">
      <Terms xmlns="http://schemas.microsoft.com/office/infopath/2007/PartnerControls"/>
    </lcf76f155ced4ddcb4097134ff3c332f>
    <TaxCatchAll xmlns="7732951b-1e4d-4ca2-ae25-3c4f29afc10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4DCA39892727A43AED8685A6B9892AC" ma:contentTypeVersion="16" ma:contentTypeDescription="Create a new document." ma:contentTypeScope="" ma:versionID="06c636b0634562424e492401b505047a">
  <xsd:schema xmlns:xsd="http://www.w3.org/2001/XMLSchema" xmlns:xs="http://www.w3.org/2001/XMLSchema" xmlns:p="http://schemas.microsoft.com/office/2006/metadata/properties" xmlns:ns2="1e38813c-8383-40ac-aac6-c130ac0789ad" xmlns:ns3="7732951b-1e4d-4ca2-ae25-3c4f29afc10d" targetNamespace="http://schemas.microsoft.com/office/2006/metadata/properties" ma:root="true" ma:fieldsID="ded78c2f4aff38b459540f72892d5355" ns2:_="" ns3:_="">
    <xsd:import namespace="1e38813c-8383-40ac-aac6-c130ac0789ad"/>
    <xsd:import namespace="7732951b-1e4d-4ca2-ae25-3c4f29afc1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38813c-8383-40ac-aac6-c130ac0789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89f8bb-ed4d-4602-b98b-499c5278b08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732951b-1e4d-4ca2-ae25-3c4f29afc10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feeaad-4ddb-4bcf-b7b8-2f706658a740}" ma:internalName="TaxCatchAll" ma:showField="CatchAllData" ma:web="7732951b-1e4d-4ca2-ae25-3c4f29afc1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38FEC-EBA4-41B7-B3E6-98D70386AD8C}">
  <ds:schemaRefs>
    <ds:schemaRef ds:uri="http://schemas.microsoft.com/sharepoint/v3/contenttype/forms"/>
  </ds:schemaRefs>
</ds:datastoreItem>
</file>

<file path=customXml/itemProps2.xml><?xml version="1.0" encoding="utf-8"?>
<ds:datastoreItem xmlns:ds="http://schemas.openxmlformats.org/officeDocument/2006/customXml" ds:itemID="{EEF5EE9A-F0F6-461D-ACE6-59004ABAB799}">
  <ds:schemaRefs>
    <ds:schemaRef ds:uri="http://schemas.microsoft.com/office/2006/metadata/properties"/>
    <ds:schemaRef ds:uri="http://schemas.microsoft.com/office/infopath/2007/PartnerControls"/>
    <ds:schemaRef ds:uri="1e38813c-8383-40ac-aac6-c130ac0789ad"/>
    <ds:schemaRef ds:uri="7732951b-1e4d-4ca2-ae25-3c4f29afc10d"/>
  </ds:schemaRefs>
</ds:datastoreItem>
</file>

<file path=customXml/itemProps3.xml><?xml version="1.0" encoding="utf-8"?>
<ds:datastoreItem xmlns:ds="http://schemas.openxmlformats.org/officeDocument/2006/customXml" ds:itemID="{4261818B-7F0A-4746-8081-91595EA28D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38813c-8383-40ac-aac6-c130ac0789ad"/>
    <ds:schemaRef ds:uri="7732951b-1e4d-4ca2-ae25-3c4f29afc1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90A23F-FC40-43FC-9965-85606EDFB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Pages>
  <Words>2065</Words>
  <Characters>10966</Characters>
  <Application>Microsoft Office Word</Application>
  <DocSecurity>0</DocSecurity>
  <Lines>296</Lines>
  <Paragraphs>112</Paragraphs>
  <ScaleCrop>false</ScaleCrop>
  <HeadingPairs>
    <vt:vector size="2" baseType="variant">
      <vt:variant>
        <vt:lpstr>Title</vt:lpstr>
      </vt:variant>
      <vt:variant>
        <vt:i4>1</vt:i4>
      </vt:variant>
    </vt:vector>
  </HeadingPairs>
  <TitlesOfParts>
    <vt:vector size="1" baseType="lpstr">
      <vt:lpstr/>
    </vt:vector>
  </TitlesOfParts>
  <Company>City of Boroondara</Company>
  <LinksUpToDate>false</LinksUpToDate>
  <CharactersWithSpaces>12919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kmcmahon</dc:creator>
  <cp:keywords/>
  <dc:description/>
  <cp:lastModifiedBy>Julie Paget</cp:lastModifiedBy>
  <cp:revision>5</cp:revision>
  <cp:lastPrinted>2017-04-07T00:02:00Z</cp:lastPrinted>
  <dcterms:created xsi:type="dcterms:W3CDTF">2022-03-07T09:18:00Z</dcterms:created>
  <dcterms:modified xsi:type="dcterms:W3CDTF">2022-06-01T03:26:00Z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0x010100A4DCA39892727A43AED8685A6B9892AC</vt:lpwstr>
  </property>
  <property fmtid="{D5CDD505-2E9C-101B-9397-08002B2CF9AE}" pid="3" name="MediaServiceImageTags">
    <vt:lpwstr/>
  </property>
</Properties>
</file>