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BFE9D" w14:textId="0AEE8CFD" w:rsidR="0007515A" w:rsidRPr="00533CF2" w:rsidRDefault="00FA29AD">
      <w:pPr>
        <w:rPr>
          <w:rFonts w:cs="Arial"/>
          <w:sz w:val="21"/>
          <w:szCs w:val="21"/>
        </w:rPr>
      </w:pP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t xml:space="preserve"> </w:t>
      </w:r>
    </w:p>
    <w:tbl>
      <w:tblPr>
        <w:tblW w:w="8613" w:type="dxa"/>
        <w:tblLook w:val="01E0" w:firstRow="1" w:lastRow="1" w:firstColumn="1" w:lastColumn="1" w:noHBand="0" w:noVBand="0"/>
      </w:tblPr>
      <w:tblGrid>
        <w:gridCol w:w="8613"/>
      </w:tblGrid>
      <w:tr w:rsidR="00824D69" w:rsidRPr="00533CF2" w14:paraId="69B64CA2" w14:textId="77777777" w:rsidTr="56C570C5">
        <w:tc>
          <w:tcPr>
            <w:tcW w:w="8613" w:type="dxa"/>
          </w:tcPr>
          <w:p w14:paraId="2523CE83" w14:textId="56E1B22A" w:rsidR="00824D69" w:rsidRPr="00533CF2" w:rsidRDefault="009C31D5" w:rsidP="00D00A0D">
            <w:pPr>
              <w:jc w:val="left"/>
              <w:rPr>
                <w:rFonts w:cs="Arial"/>
                <w:b/>
                <w:sz w:val="21"/>
                <w:szCs w:val="21"/>
              </w:rPr>
            </w:pPr>
            <w:r>
              <w:rPr>
                <w:rFonts w:cs="Arial"/>
                <w:b/>
                <w:sz w:val="21"/>
                <w:szCs w:val="21"/>
              </w:rPr>
              <w:t>Title</w:t>
            </w:r>
            <w:r w:rsidR="000274A4">
              <w:rPr>
                <w:rFonts w:cs="Arial"/>
                <w:b/>
                <w:sz w:val="21"/>
                <w:szCs w:val="21"/>
              </w:rPr>
              <w:t>:</w:t>
            </w:r>
            <w:r w:rsidR="000274A4" w:rsidRPr="00EF006C">
              <w:rPr>
                <w:rFonts w:cs="Arial"/>
                <w:bCs/>
                <w:sz w:val="21"/>
                <w:szCs w:val="21"/>
              </w:rPr>
              <w:t xml:space="preserve"> </w:t>
            </w:r>
            <w:r w:rsidR="00F7298D">
              <w:rPr>
                <w:rFonts w:cs="Arial"/>
                <w:bCs/>
                <w:sz w:val="21"/>
                <w:szCs w:val="21"/>
              </w:rPr>
              <w:t>Larch Hill</w:t>
            </w:r>
            <w:r w:rsidR="00C14447">
              <w:rPr>
                <w:rFonts w:cs="Arial"/>
                <w:bCs/>
                <w:sz w:val="21"/>
                <w:szCs w:val="21"/>
              </w:rPr>
              <w:t>, 2 Hillmartin Lane</w:t>
            </w:r>
          </w:p>
        </w:tc>
      </w:tr>
      <w:tr w:rsidR="0053253F" w:rsidRPr="00533CF2" w14:paraId="48F0B5C5" w14:textId="77777777" w:rsidTr="56C570C5">
        <w:tc>
          <w:tcPr>
            <w:tcW w:w="8613" w:type="dxa"/>
          </w:tcPr>
          <w:p w14:paraId="11A6C2EA" w14:textId="77777777" w:rsidR="0053253F" w:rsidRPr="00533CF2" w:rsidRDefault="0053253F" w:rsidP="0053253F">
            <w:pPr>
              <w:rPr>
                <w:rFonts w:cs="Arial"/>
                <w:sz w:val="21"/>
                <w:szCs w:val="21"/>
              </w:rPr>
            </w:pPr>
          </w:p>
          <w:p w14:paraId="4590393D" w14:textId="4D1E3229" w:rsidR="0053253F" w:rsidRPr="00533CF2" w:rsidRDefault="0053253F" w:rsidP="00E0419F">
            <w:pPr>
              <w:rPr>
                <w:rFonts w:cs="Arial"/>
                <w:sz w:val="21"/>
                <w:szCs w:val="21"/>
              </w:rPr>
            </w:pPr>
            <w:r w:rsidRPr="00740B5D">
              <w:rPr>
                <w:rFonts w:cs="Arial"/>
                <w:b/>
                <w:bCs/>
                <w:sz w:val="21"/>
                <w:szCs w:val="21"/>
              </w:rPr>
              <w:t>Prepared by:</w:t>
            </w:r>
            <w:r w:rsidRPr="56C570C5">
              <w:rPr>
                <w:rFonts w:cs="Arial"/>
                <w:sz w:val="21"/>
                <w:szCs w:val="21"/>
              </w:rPr>
              <w:t xml:space="preserve"> </w:t>
            </w:r>
            <w:r w:rsidR="007A044E" w:rsidRPr="56C570C5">
              <w:rPr>
                <w:rFonts w:cs="Arial"/>
                <w:sz w:val="21"/>
                <w:szCs w:val="21"/>
              </w:rPr>
              <w:t>Trethowan Architect</w:t>
            </w:r>
            <w:r w:rsidR="00AA2B0C" w:rsidRPr="56C570C5">
              <w:rPr>
                <w:rFonts w:cs="Arial"/>
                <w:sz w:val="21"/>
                <w:szCs w:val="21"/>
              </w:rPr>
              <w:t>ure</w:t>
            </w:r>
          </w:p>
        </w:tc>
      </w:tr>
    </w:tbl>
    <w:p w14:paraId="557A33E3" w14:textId="77777777" w:rsidR="00FA29AD" w:rsidRPr="00533CF2" w:rsidRDefault="00FA29AD" w:rsidP="0053253F">
      <w:pPr>
        <w:rPr>
          <w:rFonts w:cs="Arial"/>
          <w:sz w:val="21"/>
          <w:szCs w:val="21"/>
        </w:rPr>
      </w:pPr>
    </w:p>
    <w:tbl>
      <w:tblPr>
        <w:tblW w:w="8613" w:type="dxa"/>
        <w:tblBorders>
          <w:insideH w:val="single" w:sz="4" w:space="0" w:color="auto"/>
          <w:insideV w:val="single" w:sz="4" w:space="0" w:color="auto"/>
        </w:tblBorders>
        <w:tblLook w:val="01E0" w:firstRow="1" w:lastRow="1" w:firstColumn="1" w:lastColumn="1" w:noHBand="0" w:noVBand="0"/>
      </w:tblPr>
      <w:tblGrid>
        <w:gridCol w:w="5495"/>
        <w:gridCol w:w="3118"/>
      </w:tblGrid>
      <w:tr w:rsidR="00F412AE" w:rsidRPr="00533CF2" w14:paraId="51C0521A" w14:textId="77777777" w:rsidTr="00492AB4">
        <w:trPr>
          <w:trHeight w:val="397"/>
        </w:trPr>
        <w:tc>
          <w:tcPr>
            <w:tcW w:w="8613" w:type="dxa"/>
            <w:gridSpan w:val="2"/>
          </w:tcPr>
          <w:p w14:paraId="4C2565D4" w14:textId="1E89ECF1" w:rsidR="00F412AE" w:rsidRPr="00E0419F" w:rsidRDefault="00F412AE" w:rsidP="00465000">
            <w:pPr>
              <w:rPr>
                <w:rFonts w:cs="Arial"/>
                <w:sz w:val="21"/>
                <w:szCs w:val="21"/>
              </w:rPr>
            </w:pPr>
            <w:r w:rsidRPr="00533CF2">
              <w:rPr>
                <w:rFonts w:cs="Arial"/>
                <w:b/>
                <w:sz w:val="21"/>
                <w:szCs w:val="21"/>
              </w:rPr>
              <w:t>Address:</w:t>
            </w:r>
            <w:r w:rsidR="00E0419F" w:rsidRPr="00EF006C">
              <w:rPr>
                <w:rFonts w:cs="Arial"/>
                <w:bCs/>
                <w:sz w:val="21"/>
                <w:szCs w:val="21"/>
              </w:rPr>
              <w:t xml:space="preserve"> </w:t>
            </w:r>
            <w:r w:rsidR="009C5698">
              <w:rPr>
                <w:rFonts w:cs="Arial"/>
                <w:bCs/>
                <w:sz w:val="21"/>
                <w:szCs w:val="21"/>
              </w:rPr>
              <w:t>2 Hillmartin Lane, Diamond Creek</w:t>
            </w:r>
          </w:p>
        </w:tc>
      </w:tr>
      <w:tr w:rsidR="00D00A0D" w:rsidRPr="00533CF2" w14:paraId="25C448F6" w14:textId="77777777" w:rsidTr="00492AB4">
        <w:trPr>
          <w:trHeight w:val="397"/>
        </w:trPr>
        <w:tc>
          <w:tcPr>
            <w:tcW w:w="5495" w:type="dxa"/>
          </w:tcPr>
          <w:p w14:paraId="5A1A9259" w14:textId="2368A962" w:rsidR="00D00A0D" w:rsidRPr="00506A8F" w:rsidRDefault="00D00A0D" w:rsidP="00465000">
            <w:pPr>
              <w:rPr>
                <w:rFonts w:cs="Arial"/>
                <w:b/>
                <w:sz w:val="21"/>
                <w:szCs w:val="21"/>
              </w:rPr>
            </w:pPr>
            <w:r w:rsidRPr="00506A8F">
              <w:rPr>
                <w:rFonts w:cs="Arial"/>
                <w:b/>
                <w:sz w:val="21"/>
                <w:szCs w:val="21"/>
              </w:rPr>
              <w:t>Name:</w:t>
            </w:r>
            <w:r w:rsidR="00EF006C" w:rsidRPr="00506A8F">
              <w:rPr>
                <w:rFonts w:cs="Arial"/>
                <w:bCs/>
                <w:sz w:val="21"/>
                <w:szCs w:val="21"/>
              </w:rPr>
              <w:t xml:space="preserve"> </w:t>
            </w:r>
            <w:r w:rsidR="00224060" w:rsidRPr="00506A8F">
              <w:rPr>
                <w:rFonts w:cs="Arial"/>
                <w:bCs/>
                <w:sz w:val="21"/>
                <w:szCs w:val="21"/>
              </w:rPr>
              <w:t>Larch Hill Residence and Remnant Orchard</w:t>
            </w:r>
          </w:p>
        </w:tc>
        <w:tc>
          <w:tcPr>
            <w:tcW w:w="3118" w:type="dxa"/>
          </w:tcPr>
          <w:p w14:paraId="486D578B" w14:textId="655D5E0D" w:rsidR="00D00A0D" w:rsidRPr="00506A8F" w:rsidRDefault="00D00A0D" w:rsidP="00465000">
            <w:pPr>
              <w:rPr>
                <w:rFonts w:cs="Arial"/>
                <w:sz w:val="21"/>
                <w:szCs w:val="21"/>
              </w:rPr>
            </w:pPr>
            <w:r w:rsidRPr="00506A8F">
              <w:rPr>
                <w:rFonts w:cs="Arial"/>
                <w:b/>
                <w:sz w:val="21"/>
                <w:szCs w:val="21"/>
              </w:rPr>
              <w:t>Survey Date:</w:t>
            </w:r>
            <w:r w:rsidR="000274A4" w:rsidRPr="00506A8F">
              <w:rPr>
                <w:rFonts w:cs="Arial"/>
                <w:bCs/>
                <w:sz w:val="21"/>
                <w:szCs w:val="21"/>
              </w:rPr>
              <w:t xml:space="preserve"> </w:t>
            </w:r>
            <w:r w:rsidR="00C14447" w:rsidRPr="00506A8F">
              <w:rPr>
                <w:rFonts w:cs="Arial"/>
                <w:bCs/>
                <w:sz w:val="21"/>
                <w:szCs w:val="21"/>
              </w:rPr>
              <w:t>20/1/2022</w:t>
            </w:r>
          </w:p>
        </w:tc>
      </w:tr>
      <w:tr w:rsidR="00D00A0D" w:rsidRPr="00533CF2" w14:paraId="55B24944" w14:textId="77777777" w:rsidTr="00492AB4">
        <w:trPr>
          <w:trHeight w:val="397"/>
        </w:trPr>
        <w:tc>
          <w:tcPr>
            <w:tcW w:w="5495" w:type="dxa"/>
          </w:tcPr>
          <w:p w14:paraId="762FDA8F" w14:textId="4779CE7E" w:rsidR="00D00A0D" w:rsidRPr="00580661" w:rsidRDefault="00D00A0D" w:rsidP="00E0419F">
            <w:pPr>
              <w:rPr>
                <w:rFonts w:cs="Arial"/>
                <w:sz w:val="21"/>
                <w:szCs w:val="21"/>
              </w:rPr>
            </w:pPr>
            <w:r w:rsidRPr="00533CF2">
              <w:rPr>
                <w:rFonts w:cs="Arial"/>
                <w:b/>
                <w:sz w:val="21"/>
                <w:szCs w:val="21"/>
              </w:rPr>
              <w:t>Place Type:</w:t>
            </w:r>
            <w:r w:rsidR="00EF006C" w:rsidRPr="00EF006C">
              <w:rPr>
                <w:rFonts w:cs="Arial"/>
                <w:bCs/>
                <w:sz w:val="21"/>
                <w:szCs w:val="21"/>
              </w:rPr>
              <w:t xml:space="preserve"> </w:t>
            </w:r>
            <w:r w:rsidR="00F7298D">
              <w:rPr>
                <w:rFonts w:cs="Arial"/>
                <w:bCs/>
                <w:sz w:val="21"/>
                <w:szCs w:val="21"/>
              </w:rPr>
              <w:t>Individual Place</w:t>
            </w:r>
          </w:p>
        </w:tc>
        <w:tc>
          <w:tcPr>
            <w:tcW w:w="3118" w:type="dxa"/>
          </w:tcPr>
          <w:p w14:paraId="24E08DF2" w14:textId="0C4CDC7C" w:rsidR="00D00A0D" w:rsidRPr="00E0419F" w:rsidRDefault="00D00A0D" w:rsidP="00465000">
            <w:pPr>
              <w:rPr>
                <w:rFonts w:cs="Arial"/>
                <w:sz w:val="21"/>
                <w:szCs w:val="21"/>
              </w:rPr>
            </w:pPr>
            <w:r w:rsidRPr="00533CF2">
              <w:rPr>
                <w:rFonts w:cs="Arial"/>
                <w:b/>
                <w:sz w:val="21"/>
                <w:szCs w:val="21"/>
              </w:rPr>
              <w:t>Architect:</w:t>
            </w:r>
            <w:r w:rsidR="000274A4" w:rsidRPr="00EF006C">
              <w:rPr>
                <w:rFonts w:cs="Arial"/>
                <w:bCs/>
                <w:sz w:val="21"/>
                <w:szCs w:val="21"/>
              </w:rPr>
              <w:t xml:space="preserve"> </w:t>
            </w:r>
            <w:r w:rsidR="00915221">
              <w:rPr>
                <w:rFonts w:cs="Arial"/>
                <w:bCs/>
                <w:sz w:val="21"/>
                <w:szCs w:val="21"/>
              </w:rPr>
              <w:t xml:space="preserve">Unknown </w:t>
            </w:r>
          </w:p>
        </w:tc>
      </w:tr>
      <w:tr w:rsidR="00D00A0D" w:rsidRPr="00533CF2" w14:paraId="11DA50E0" w14:textId="77777777" w:rsidTr="00492AB4">
        <w:trPr>
          <w:trHeight w:val="397"/>
        </w:trPr>
        <w:tc>
          <w:tcPr>
            <w:tcW w:w="5495" w:type="dxa"/>
          </w:tcPr>
          <w:p w14:paraId="33B19311" w14:textId="59F91397" w:rsidR="00D00A0D" w:rsidRPr="00580661" w:rsidRDefault="00D00A0D" w:rsidP="00E0419F">
            <w:pPr>
              <w:rPr>
                <w:rFonts w:cs="Arial"/>
                <w:sz w:val="21"/>
                <w:szCs w:val="21"/>
              </w:rPr>
            </w:pPr>
            <w:r w:rsidRPr="00533CF2">
              <w:rPr>
                <w:rFonts w:cs="Arial"/>
                <w:b/>
                <w:sz w:val="21"/>
                <w:szCs w:val="21"/>
              </w:rPr>
              <w:t>Grading:</w:t>
            </w:r>
            <w:r w:rsidR="000274A4" w:rsidRPr="00EF006C">
              <w:rPr>
                <w:rFonts w:cs="Arial"/>
                <w:bCs/>
                <w:sz w:val="21"/>
                <w:szCs w:val="21"/>
              </w:rPr>
              <w:t xml:space="preserve"> </w:t>
            </w:r>
            <w:r w:rsidR="00F7298D">
              <w:rPr>
                <w:rFonts w:cs="Arial"/>
                <w:bCs/>
                <w:sz w:val="21"/>
                <w:szCs w:val="21"/>
              </w:rPr>
              <w:t>Significant</w:t>
            </w:r>
          </w:p>
        </w:tc>
        <w:tc>
          <w:tcPr>
            <w:tcW w:w="3118" w:type="dxa"/>
          </w:tcPr>
          <w:p w14:paraId="3E63B317" w14:textId="73DEDEAC" w:rsidR="00D00A0D" w:rsidRPr="00533CF2" w:rsidRDefault="00D00A0D" w:rsidP="00014192">
            <w:pPr>
              <w:rPr>
                <w:rFonts w:cs="Arial"/>
                <w:b/>
                <w:sz w:val="21"/>
                <w:szCs w:val="21"/>
              </w:rPr>
            </w:pPr>
            <w:r w:rsidRPr="00533CF2">
              <w:rPr>
                <w:rFonts w:cs="Arial"/>
                <w:b/>
                <w:sz w:val="21"/>
                <w:szCs w:val="21"/>
              </w:rPr>
              <w:t>Builder:</w:t>
            </w:r>
            <w:r w:rsidR="000274A4" w:rsidRPr="00EF006C">
              <w:rPr>
                <w:rFonts w:cs="Arial"/>
                <w:bCs/>
                <w:sz w:val="21"/>
                <w:szCs w:val="21"/>
              </w:rPr>
              <w:t xml:space="preserve"> </w:t>
            </w:r>
            <w:r w:rsidR="00915221">
              <w:rPr>
                <w:rFonts w:cs="Arial"/>
                <w:bCs/>
                <w:sz w:val="21"/>
                <w:szCs w:val="21"/>
              </w:rPr>
              <w:t xml:space="preserve">Unknown </w:t>
            </w:r>
          </w:p>
        </w:tc>
      </w:tr>
      <w:tr w:rsidR="00D00A0D" w:rsidRPr="00533CF2" w14:paraId="44683571" w14:textId="77777777" w:rsidTr="00492AB4">
        <w:trPr>
          <w:trHeight w:val="397"/>
        </w:trPr>
        <w:tc>
          <w:tcPr>
            <w:tcW w:w="5495" w:type="dxa"/>
          </w:tcPr>
          <w:p w14:paraId="7F5D5AD7" w14:textId="4C1699E7" w:rsidR="00D00A0D" w:rsidRPr="00533CF2" w:rsidRDefault="00D00A0D" w:rsidP="0053253F">
            <w:pPr>
              <w:rPr>
                <w:rFonts w:cs="Arial"/>
                <w:b/>
                <w:sz w:val="21"/>
                <w:szCs w:val="21"/>
              </w:rPr>
            </w:pPr>
            <w:r w:rsidRPr="00533CF2">
              <w:rPr>
                <w:rFonts w:cs="Arial"/>
                <w:b/>
                <w:sz w:val="21"/>
                <w:szCs w:val="21"/>
              </w:rPr>
              <w:t>Extent of Overlay:</w:t>
            </w:r>
            <w:r w:rsidR="000274A4" w:rsidRPr="00EF006C">
              <w:rPr>
                <w:rFonts w:cs="Arial"/>
                <w:bCs/>
                <w:sz w:val="21"/>
                <w:szCs w:val="21"/>
              </w:rPr>
              <w:t xml:space="preserve"> </w:t>
            </w:r>
            <w:r w:rsidR="00915221">
              <w:rPr>
                <w:rFonts w:cs="Arial"/>
                <w:bCs/>
                <w:sz w:val="21"/>
                <w:szCs w:val="21"/>
              </w:rPr>
              <w:t xml:space="preserve">to the title boundary </w:t>
            </w:r>
          </w:p>
        </w:tc>
        <w:tc>
          <w:tcPr>
            <w:tcW w:w="3118" w:type="dxa"/>
          </w:tcPr>
          <w:p w14:paraId="3B72F686" w14:textId="63BA4FC1" w:rsidR="00D00A0D" w:rsidRPr="00E0419F" w:rsidRDefault="00D00A0D" w:rsidP="00465000">
            <w:pPr>
              <w:rPr>
                <w:rFonts w:cs="Arial"/>
                <w:sz w:val="21"/>
                <w:szCs w:val="21"/>
              </w:rPr>
            </w:pPr>
            <w:r w:rsidRPr="00533CF2">
              <w:rPr>
                <w:rFonts w:cs="Arial"/>
                <w:b/>
                <w:sz w:val="21"/>
                <w:szCs w:val="21"/>
              </w:rPr>
              <w:t>Construction Date:</w:t>
            </w:r>
            <w:r w:rsidR="000274A4" w:rsidRPr="00EF006C">
              <w:rPr>
                <w:rFonts w:cs="Arial"/>
                <w:bCs/>
                <w:sz w:val="21"/>
                <w:szCs w:val="21"/>
              </w:rPr>
              <w:t xml:space="preserve"> </w:t>
            </w:r>
            <w:r w:rsidR="00171780">
              <w:rPr>
                <w:rFonts w:cs="Arial"/>
                <w:bCs/>
                <w:sz w:val="21"/>
                <w:szCs w:val="21"/>
              </w:rPr>
              <w:t>1920-22</w:t>
            </w:r>
          </w:p>
        </w:tc>
      </w:tr>
    </w:tbl>
    <w:p w14:paraId="0FBA6BFB" w14:textId="77777777" w:rsidR="00F0333B" w:rsidRPr="00533CF2" w:rsidRDefault="00F0333B" w:rsidP="0053253F">
      <w:pPr>
        <w:rPr>
          <w:rFonts w:cs="Arial"/>
          <w:sz w:val="21"/>
          <w:szCs w:val="21"/>
        </w:rPr>
      </w:pPr>
    </w:p>
    <w:p w14:paraId="7DCD23D1" w14:textId="7C52DBE3" w:rsidR="004004A2" w:rsidRPr="00D355A0" w:rsidRDefault="00E12FC8" w:rsidP="00AD445E">
      <w:pPr>
        <w:jc w:val="center"/>
        <w:rPr>
          <w:rFonts w:cs="Arial"/>
          <w:sz w:val="21"/>
          <w:szCs w:val="21"/>
        </w:rPr>
      </w:pPr>
      <w:bookmarkStart w:id="0" w:name="_GoBack"/>
      <w:r>
        <w:rPr>
          <w:noProof/>
          <w:lang w:eastAsia="en-AU"/>
        </w:rPr>
        <w:drawing>
          <wp:inline distT="0" distB="0" distL="0" distR="0" wp14:anchorId="465865EA" wp14:editId="73CA9895">
            <wp:extent cx="4490220" cy="2320119"/>
            <wp:effectExtent l="0" t="0" r="5715" b="4445"/>
            <wp:docPr id="155" name="image93.jpeg" descr="Macintosh HD:Users:samanthawestbrooke:Documents:SW Pty Ltd:Projects:Nillumbik:Assessments:Diamond Creek Assessments:Images:2 Hillmartin Lane street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93.jpeg"/>
                    <pic:cNvPicPr/>
                  </pic:nvPicPr>
                  <pic:blipFill>
                    <a:blip r:embed="rId11" cstate="print"/>
                    <a:stretch>
                      <a:fillRect/>
                    </a:stretch>
                  </pic:blipFill>
                  <pic:spPr>
                    <a:xfrm>
                      <a:off x="0" y="0"/>
                      <a:ext cx="4515148" cy="2333000"/>
                    </a:xfrm>
                    <a:prstGeom prst="rect">
                      <a:avLst/>
                    </a:prstGeom>
                  </pic:spPr>
                </pic:pic>
              </a:graphicData>
            </a:graphic>
          </wp:inline>
        </w:drawing>
      </w:r>
      <w:bookmarkEnd w:id="0"/>
    </w:p>
    <w:p w14:paraId="41E40C80" w14:textId="77777777" w:rsidR="003D39C2" w:rsidRDefault="003D39C2" w:rsidP="00014192">
      <w:pPr>
        <w:rPr>
          <w:rFonts w:cs="Arial"/>
          <w:sz w:val="18"/>
          <w:szCs w:val="18"/>
        </w:rPr>
      </w:pPr>
    </w:p>
    <w:p w14:paraId="64C062D7" w14:textId="77777777" w:rsidR="003D39C2" w:rsidRPr="003D39C2" w:rsidRDefault="003D39C2" w:rsidP="00014192">
      <w:pPr>
        <w:rPr>
          <w:rFonts w:cs="Arial"/>
          <w:sz w:val="18"/>
          <w:szCs w:val="18"/>
        </w:rPr>
      </w:pPr>
    </w:p>
    <w:p w14:paraId="439CB1DD" w14:textId="77777777" w:rsidR="00014192" w:rsidRPr="00533CF2" w:rsidRDefault="00014192" w:rsidP="00014192">
      <w:pPr>
        <w:rPr>
          <w:rFonts w:cs="Arial"/>
          <w:b/>
          <w:sz w:val="21"/>
          <w:szCs w:val="21"/>
        </w:rPr>
      </w:pPr>
      <w:r w:rsidRPr="00533CF2">
        <w:rPr>
          <w:rFonts w:cs="Arial"/>
          <w:b/>
          <w:sz w:val="21"/>
          <w:szCs w:val="21"/>
        </w:rPr>
        <w:t>Historical Context</w:t>
      </w:r>
    </w:p>
    <w:p w14:paraId="6D604A5E" w14:textId="77777777" w:rsidR="00E0419F" w:rsidRDefault="00E0419F" w:rsidP="0053253F">
      <w:pPr>
        <w:rPr>
          <w:rFonts w:cs="Arial"/>
          <w:b/>
          <w:sz w:val="21"/>
          <w:szCs w:val="21"/>
        </w:rPr>
      </w:pPr>
    </w:p>
    <w:p w14:paraId="388FF56E" w14:textId="77777777" w:rsidR="00AA0DFB" w:rsidRPr="00AA0DFB" w:rsidRDefault="00AA0DFB" w:rsidP="00AA0DFB">
      <w:pPr>
        <w:rPr>
          <w:rFonts w:cs="Arial"/>
          <w:b/>
          <w:bCs/>
          <w:sz w:val="21"/>
          <w:szCs w:val="21"/>
        </w:rPr>
      </w:pPr>
      <w:r w:rsidRPr="00AA0DFB">
        <w:rPr>
          <w:rFonts w:cs="Arial"/>
          <w:b/>
          <w:bCs/>
          <w:sz w:val="21"/>
          <w:szCs w:val="21"/>
        </w:rPr>
        <w:t>Early History of Diamond Creek</w:t>
      </w:r>
    </w:p>
    <w:p w14:paraId="1605F8EB" w14:textId="05C7602B" w:rsidR="00643D69" w:rsidRDefault="00AA0DFB" w:rsidP="00AA0DFB">
      <w:pPr>
        <w:rPr>
          <w:rFonts w:cs="Arial"/>
          <w:b/>
          <w:bCs/>
          <w:sz w:val="21"/>
          <w:szCs w:val="21"/>
        </w:rPr>
      </w:pPr>
      <w:r w:rsidRPr="00AA0DFB">
        <w:rPr>
          <w:rFonts w:cs="Arial"/>
          <w:sz w:val="21"/>
          <w:szCs w:val="21"/>
        </w:rPr>
        <w:t>Although Crown Land in Nillumbik Parish was offered for sale in 1852 there were few buyers. A government township was reserved on the west of the Diamond Creek at this time but it was neither subdivided nor sold until 1866. In 1863 the Diamond Reef was discovered on land purchased by Dr John Blakemore Phipps in 1854 east of the creek. The rush to Diamond Creek began and soon Phipps was renting sections of his land, which he later subdivided to miners. In effect the development of Phipps land for gold mining was the beginnings of Diamond Creek, which was soon bustling with gold seekers. In 1866 the government proclaimed Diamond Creek as a township. Many of the important community buildings were established by the early 1870s. By the second half of the 1880s the locality was being carved up rapidly into a dominant pattern of numerous small lots of around 20 acres. These were taken up under occupation licenses, first under Section 49 of the Land Act 1869 and later under Section 65 of the Land Act 1884. Diamond Creek's population peaked around the turn of the century then seemed to fall away again in the early twentieth century (Graeme Butler &amp; Associates 1996, p.36).</w:t>
      </w:r>
    </w:p>
    <w:p w14:paraId="72719C00" w14:textId="77777777" w:rsidR="001612CB" w:rsidRPr="00533CF2" w:rsidRDefault="001612CB" w:rsidP="0053253F">
      <w:pPr>
        <w:rPr>
          <w:rFonts w:cs="Arial"/>
          <w:b/>
          <w:sz w:val="21"/>
          <w:szCs w:val="21"/>
        </w:rPr>
      </w:pPr>
    </w:p>
    <w:p w14:paraId="0F4D836C" w14:textId="77777777" w:rsidR="00F0333B" w:rsidRPr="00533CF2" w:rsidRDefault="00F0333B" w:rsidP="0053253F">
      <w:pPr>
        <w:rPr>
          <w:rFonts w:cs="Arial"/>
          <w:b/>
          <w:sz w:val="21"/>
          <w:szCs w:val="21"/>
        </w:rPr>
      </w:pPr>
      <w:r w:rsidRPr="00533CF2">
        <w:rPr>
          <w:rFonts w:cs="Arial"/>
          <w:b/>
          <w:sz w:val="21"/>
          <w:szCs w:val="21"/>
        </w:rPr>
        <w:t>History</w:t>
      </w:r>
    </w:p>
    <w:p w14:paraId="2BB781A7" w14:textId="29D1FA0E" w:rsidR="00B435E4" w:rsidRDefault="00B435E4" w:rsidP="00335ECB">
      <w:pPr>
        <w:rPr>
          <w:rFonts w:cs="Arial"/>
          <w:sz w:val="21"/>
          <w:szCs w:val="21"/>
        </w:rPr>
      </w:pPr>
    </w:p>
    <w:p w14:paraId="1CA8857F" w14:textId="77777777" w:rsidR="00523130" w:rsidRPr="00523130" w:rsidRDefault="00523130" w:rsidP="00523130">
      <w:pPr>
        <w:rPr>
          <w:rFonts w:cs="Arial"/>
          <w:sz w:val="21"/>
          <w:szCs w:val="21"/>
        </w:rPr>
      </w:pPr>
      <w:r w:rsidRPr="00523130">
        <w:rPr>
          <w:rFonts w:cs="Arial"/>
          <w:sz w:val="21"/>
          <w:szCs w:val="21"/>
        </w:rPr>
        <w:t>2 Hillmartin Lane</w:t>
      </w:r>
    </w:p>
    <w:p w14:paraId="08161951" w14:textId="77777777" w:rsidR="00523130" w:rsidRPr="00523130" w:rsidRDefault="00523130" w:rsidP="00523130">
      <w:pPr>
        <w:rPr>
          <w:rFonts w:cs="Arial"/>
          <w:sz w:val="21"/>
          <w:szCs w:val="21"/>
        </w:rPr>
      </w:pPr>
    </w:p>
    <w:p w14:paraId="52D5EEC9" w14:textId="77777777" w:rsidR="00523130" w:rsidRPr="00523130" w:rsidRDefault="00523130" w:rsidP="00523130">
      <w:pPr>
        <w:rPr>
          <w:rFonts w:cs="Arial"/>
          <w:sz w:val="21"/>
          <w:szCs w:val="21"/>
        </w:rPr>
      </w:pPr>
      <w:r w:rsidRPr="00523130">
        <w:rPr>
          <w:rFonts w:cs="Arial"/>
          <w:sz w:val="21"/>
          <w:szCs w:val="21"/>
        </w:rPr>
        <w:t>William Gardiner</w:t>
      </w:r>
    </w:p>
    <w:p w14:paraId="7436799C" w14:textId="7F3F08D4" w:rsidR="00523130" w:rsidRPr="00523130" w:rsidRDefault="00523130" w:rsidP="00523130">
      <w:pPr>
        <w:rPr>
          <w:rFonts w:cs="Arial"/>
          <w:sz w:val="21"/>
          <w:szCs w:val="21"/>
        </w:rPr>
      </w:pPr>
      <w:r w:rsidRPr="00523130">
        <w:rPr>
          <w:rFonts w:cs="Arial"/>
          <w:sz w:val="21"/>
          <w:szCs w:val="21"/>
        </w:rPr>
        <w:lastRenderedPageBreak/>
        <w:t>William Gardiner took up Lot 12 Section 22, 20 acres Parish of Nillumbik under Section 31 of the Land Act 1869. He obtained freehold in 1873. This lot is amongst a large grouping of Section 31 occupation license areas to the north and west of the township of Diamond Creek. Characteristically they were either 20 acres or multiples thereof. Most were converted to freehold during the 1870s</w:t>
      </w:r>
      <w:r w:rsidR="00BB7E93">
        <w:rPr>
          <w:rFonts w:cs="Arial"/>
          <w:sz w:val="21"/>
          <w:szCs w:val="21"/>
        </w:rPr>
        <w:t xml:space="preserve"> (</w:t>
      </w:r>
      <w:r w:rsidR="00BB7E93" w:rsidRPr="00236C73">
        <w:t>Nillumbik</w:t>
      </w:r>
      <w:r w:rsidR="00BB7E93" w:rsidRPr="00236C73">
        <w:rPr>
          <w:spacing w:val="-3"/>
        </w:rPr>
        <w:t xml:space="preserve"> </w:t>
      </w:r>
      <w:r w:rsidR="00BB7E93" w:rsidRPr="00236C73">
        <w:t>Parish</w:t>
      </w:r>
      <w:r w:rsidR="00BB7E93" w:rsidRPr="00236C73">
        <w:rPr>
          <w:spacing w:val="-3"/>
        </w:rPr>
        <w:t xml:space="preserve"> </w:t>
      </w:r>
      <w:r w:rsidR="00BB7E93" w:rsidRPr="00236C73">
        <w:t>Plan</w:t>
      </w:r>
      <w:r w:rsidR="00BB7E93" w:rsidRPr="00236C73">
        <w:rPr>
          <w:spacing w:val="-3"/>
        </w:rPr>
        <w:t xml:space="preserve"> </w:t>
      </w:r>
      <w:r w:rsidR="00BB7E93" w:rsidRPr="00236C73">
        <w:t>sheet</w:t>
      </w:r>
      <w:r w:rsidR="00BB7E93" w:rsidRPr="00236C73">
        <w:rPr>
          <w:spacing w:val="-3"/>
        </w:rPr>
        <w:t xml:space="preserve"> </w:t>
      </w:r>
      <w:r w:rsidR="00BB7E93" w:rsidRPr="00236C73">
        <w:t>1</w:t>
      </w:r>
      <w:r w:rsidR="00BB7E93">
        <w:t>)</w:t>
      </w:r>
      <w:r w:rsidR="000536FB">
        <w:t xml:space="preserve">. </w:t>
      </w:r>
      <w:r w:rsidR="00BB7E93">
        <w:rPr>
          <w:rFonts w:cs="Arial"/>
          <w:sz w:val="21"/>
          <w:szCs w:val="21"/>
        </w:rPr>
        <w:t>The land that contained the subject site was occupied by Sarah Gardiner, who was recorded to have owned ‘house and land’ in Parish of Nillumbik (RB</w:t>
      </w:r>
      <w:r w:rsidR="00F10681">
        <w:rPr>
          <w:rFonts w:cs="Arial"/>
          <w:sz w:val="21"/>
          <w:szCs w:val="21"/>
        </w:rPr>
        <w:t xml:space="preserve"> 1872, 1873 &amp; 1874</w:t>
      </w:r>
      <w:r w:rsidR="00BB7E93">
        <w:rPr>
          <w:rFonts w:cs="Arial"/>
          <w:sz w:val="21"/>
          <w:szCs w:val="21"/>
        </w:rPr>
        <w:t xml:space="preserve">). </w:t>
      </w:r>
    </w:p>
    <w:p w14:paraId="68E43D12" w14:textId="77777777" w:rsidR="00523130" w:rsidRPr="00523130" w:rsidRDefault="00523130" w:rsidP="00523130">
      <w:pPr>
        <w:rPr>
          <w:rFonts w:cs="Arial"/>
          <w:sz w:val="21"/>
          <w:szCs w:val="21"/>
        </w:rPr>
      </w:pPr>
    </w:p>
    <w:p w14:paraId="5825AD19" w14:textId="78D190E5" w:rsidR="000D68A8" w:rsidRDefault="00523130" w:rsidP="000D68A8">
      <w:pPr>
        <w:rPr>
          <w:rFonts w:cs="Arial"/>
          <w:sz w:val="21"/>
          <w:szCs w:val="21"/>
        </w:rPr>
      </w:pPr>
      <w:r w:rsidRPr="00523130">
        <w:rPr>
          <w:rFonts w:cs="Arial"/>
          <w:sz w:val="21"/>
          <w:szCs w:val="21"/>
        </w:rPr>
        <w:t>The 1876-77 rate book shows Sarah Gardiner owning house and land in Parish of Nillumbik</w:t>
      </w:r>
      <w:r w:rsidR="009964D1">
        <w:rPr>
          <w:rFonts w:cs="Arial"/>
          <w:sz w:val="21"/>
          <w:szCs w:val="21"/>
        </w:rPr>
        <w:t xml:space="preserve"> (RB</w:t>
      </w:r>
      <w:r w:rsidR="00F10681">
        <w:rPr>
          <w:rFonts w:cs="Arial"/>
          <w:sz w:val="21"/>
          <w:szCs w:val="21"/>
        </w:rPr>
        <w:t xml:space="preserve"> 1876 &amp; 1877</w:t>
      </w:r>
      <w:r w:rsidR="00226815">
        <w:rPr>
          <w:rFonts w:cs="Arial"/>
          <w:sz w:val="21"/>
          <w:szCs w:val="21"/>
        </w:rPr>
        <w:t>)</w:t>
      </w:r>
      <w:r w:rsidR="00226815" w:rsidRPr="00523130">
        <w:rPr>
          <w:rFonts w:cs="Arial"/>
          <w:sz w:val="21"/>
          <w:szCs w:val="21"/>
        </w:rPr>
        <w:t>.</w:t>
      </w:r>
      <w:r w:rsidR="00226815">
        <w:rPr>
          <w:rFonts w:cs="Arial"/>
          <w:sz w:val="21"/>
          <w:szCs w:val="21"/>
        </w:rPr>
        <w:t xml:space="preserve"> The</w:t>
      </w:r>
      <w:r w:rsidR="009964D1">
        <w:rPr>
          <w:rFonts w:cs="Arial"/>
          <w:sz w:val="21"/>
          <w:szCs w:val="21"/>
        </w:rPr>
        <w:t xml:space="preserve"> land was purchased by </w:t>
      </w:r>
      <w:r w:rsidRPr="00CC3564">
        <w:rPr>
          <w:rFonts w:cs="Arial"/>
          <w:sz w:val="21"/>
          <w:szCs w:val="21"/>
        </w:rPr>
        <w:t>Charlotte De Frederick in 1884</w:t>
      </w:r>
      <w:r w:rsidR="009964D1" w:rsidRPr="00CC3564">
        <w:rPr>
          <w:rFonts w:cs="Arial"/>
          <w:sz w:val="21"/>
          <w:szCs w:val="21"/>
        </w:rPr>
        <w:t xml:space="preserve"> (CT: V1606</w:t>
      </w:r>
      <w:r w:rsidR="00226815" w:rsidRPr="00CC3564">
        <w:rPr>
          <w:rFonts w:cs="Arial"/>
          <w:sz w:val="21"/>
          <w:szCs w:val="21"/>
        </w:rPr>
        <w:t>). In</w:t>
      </w:r>
      <w:r w:rsidRPr="00CC3564">
        <w:rPr>
          <w:rFonts w:cs="Arial"/>
          <w:sz w:val="21"/>
          <w:szCs w:val="21"/>
        </w:rPr>
        <w:t xml:space="preserve"> 1885 Henry de Frederick was rated for house and land in the Parish of Nillumbik with an NAV of £10. In 1895 Lot 12 was purchased by Constance Fitzgibbon, wife of</w:t>
      </w:r>
      <w:r w:rsidRPr="00523130">
        <w:rPr>
          <w:rFonts w:cs="Arial"/>
          <w:sz w:val="21"/>
          <w:szCs w:val="21"/>
        </w:rPr>
        <w:t xml:space="preserve"> Major Maurice Fitzgibbon, engineer of the 18th Royal Scots regiment, </w:t>
      </w:r>
      <w:r w:rsidR="001562C7">
        <w:rPr>
          <w:rFonts w:cs="Arial"/>
          <w:sz w:val="21"/>
          <w:szCs w:val="21"/>
        </w:rPr>
        <w:t>then based</w:t>
      </w:r>
      <w:r w:rsidRPr="00523130">
        <w:rPr>
          <w:rFonts w:cs="Arial"/>
          <w:sz w:val="21"/>
          <w:szCs w:val="21"/>
        </w:rPr>
        <w:t xml:space="preserve"> in Calcutta India</w:t>
      </w:r>
      <w:r w:rsidR="001562C7">
        <w:rPr>
          <w:rFonts w:cs="Arial"/>
          <w:sz w:val="21"/>
          <w:szCs w:val="21"/>
        </w:rPr>
        <w:t xml:space="preserve"> (</w:t>
      </w:r>
      <w:r w:rsidR="001562C7" w:rsidRPr="001562C7">
        <w:rPr>
          <w:rFonts w:cs="Arial"/>
          <w:sz w:val="21"/>
          <w:szCs w:val="21"/>
        </w:rPr>
        <w:t>C</w:t>
      </w:r>
      <w:r w:rsidR="001562C7">
        <w:rPr>
          <w:rFonts w:cs="Arial"/>
          <w:sz w:val="21"/>
          <w:szCs w:val="21"/>
        </w:rPr>
        <w:t>T:</w:t>
      </w:r>
      <w:r w:rsidR="001562C7" w:rsidRPr="001562C7">
        <w:rPr>
          <w:rFonts w:cs="Arial"/>
          <w:sz w:val="21"/>
          <w:szCs w:val="21"/>
        </w:rPr>
        <w:t xml:space="preserve"> </w:t>
      </w:r>
      <w:r w:rsidR="001562C7">
        <w:rPr>
          <w:rFonts w:cs="Arial"/>
          <w:sz w:val="21"/>
          <w:szCs w:val="21"/>
        </w:rPr>
        <w:t>V</w:t>
      </w:r>
      <w:r w:rsidR="001562C7" w:rsidRPr="001562C7">
        <w:rPr>
          <w:rFonts w:cs="Arial"/>
          <w:sz w:val="21"/>
          <w:szCs w:val="21"/>
        </w:rPr>
        <w:t>2562F379</w:t>
      </w:r>
      <w:r w:rsidR="001562C7">
        <w:rPr>
          <w:rFonts w:cs="Arial"/>
          <w:sz w:val="21"/>
          <w:szCs w:val="21"/>
        </w:rPr>
        <w:t>).</w:t>
      </w:r>
      <w:r w:rsidR="000C02C4">
        <w:rPr>
          <w:rFonts w:cs="Arial"/>
          <w:sz w:val="21"/>
          <w:szCs w:val="21"/>
        </w:rPr>
        <w:t xml:space="preserve"> </w:t>
      </w:r>
      <w:r w:rsidRPr="00523130">
        <w:rPr>
          <w:rFonts w:cs="Arial"/>
          <w:sz w:val="21"/>
          <w:szCs w:val="21"/>
        </w:rPr>
        <w:t>The de Fredericks,</w:t>
      </w:r>
      <w:r w:rsidR="001562C7">
        <w:rPr>
          <w:rFonts w:cs="Arial"/>
          <w:sz w:val="21"/>
          <w:szCs w:val="21"/>
        </w:rPr>
        <w:t xml:space="preserve"> however, continued to occupy the site</w:t>
      </w:r>
      <w:r w:rsidR="009964D1">
        <w:rPr>
          <w:rFonts w:cs="Arial"/>
          <w:sz w:val="21"/>
          <w:szCs w:val="21"/>
        </w:rPr>
        <w:t>, and were recorded to be the owner/ occupier of the property until 1910 (RB</w:t>
      </w:r>
      <w:r w:rsidR="00F10681">
        <w:rPr>
          <w:rFonts w:cs="Arial"/>
          <w:sz w:val="21"/>
          <w:szCs w:val="21"/>
        </w:rPr>
        <w:t>, 1910</w:t>
      </w:r>
      <w:r w:rsidR="009964D1">
        <w:rPr>
          <w:rFonts w:cs="Arial"/>
          <w:sz w:val="21"/>
          <w:szCs w:val="21"/>
        </w:rPr>
        <w:t>)</w:t>
      </w:r>
      <w:r w:rsidRPr="00523130">
        <w:rPr>
          <w:rFonts w:cs="Arial"/>
          <w:sz w:val="21"/>
          <w:szCs w:val="21"/>
        </w:rPr>
        <w:t>.</w:t>
      </w:r>
      <w:r w:rsidR="00F10681">
        <w:rPr>
          <w:rFonts w:cs="Arial"/>
          <w:sz w:val="21"/>
          <w:szCs w:val="21"/>
        </w:rPr>
        <w:t xml:space="preserve"> In 1911, the Fitzgibbons came to Diamond Creek and settled in the property, </w:t>
      </w:r>
      <w:r w:rsidR="00FD47D0">
        <w:rPr>
          <w:rFonts w:cs="Arial"/>
          <w:sz w:val="21"/>
          <w:szCs w:val="21"/>
        </w:rPr>
        <w:t xml:space="preserve">establishing </w:t>
      </w:r>
      <w:r w:rsidRPr="00523130">
        <w:rPr>
          <w:rFonts w:cs="Arial"/>
          <w:sz w:val="21"/>
          <w:szCs w:val="21"/>
        </w:rPr>
        <w:t>an additional 10 acres of orchards, presumably on top of what the de Fredericks had already cultivated</w:t>
      </w:r>
      <w:r w:rsidR="001562C7">
        <w:rPr>
          <w:rFonts w:cs="Arial"/>
          <w:sz w:val="21"/>
          <w:szCs w:val="21"/>
        </w:rPr>
        <w:t xml:space="preserve"> (</w:t>
      </w:r>
      <w:r w:rsidR="001562C7" w:rsidRPr="0CDCA4DB">
        <w:rPr>
          <w:rFonts w:cs="Arial"/>
          <w:i/>
          <w:iCs/>
        </w:rPr>
        <w:t>The</w:t>
      </w:r>
      <w:r w:rsidR="001562C7" w:rsidRPr="0CDCA4DB">
        <w:rPr>
          <w:rFonts w:cs="Arial"/>
          <w:i/>
          <w:iCs/>
          <w:spacing w:val="-3"/>
        </w:rPr>
        <w:t xml:space="preserve"> </w:t>
      </w:r>
      <w:r w:rsidR="001562C7" w:rsidRPr="0CDCA4DB">
        <w:rPr>
          <w:rFonts w:cs="Arial"/>
          <w:i/>
          <w:iCs/>
        </w:rPr>
        <w:t>Australasian</w:t>
      </w:r>
      <w:r w:rsidR="001562C7" w:rsidRPr="00236C73">
        <w:rPr>
          <w:rFonts w:cs="Arial"/>
        </w:rPr>
        <w:t>,</w:t>
      </w:r>
      <w:r w:rsidR="001562C7" w:rsidRPr="00236C73">
        <w:rPr>
          <w:rFonts w:cs="Arial"/>
          <w:spacing w:val="-4"/>
        </w:rPr>
        <w:t xml:space="preserve"> </w:t>
      </w:r>
      <w:r w:rsidR="001562C7" w:rsidRPr="00236C73">
        <w:rPr>
          <w:rFonts w:cs="Arial"/>
        </w:rPr>
        <w:t>2</w:t>
      </w:r>
      <w:r w:rsidR="001562C7" w:rsidRPr="00236C73">
        <w:rPr>
          <w:rFonts w:cs="Arial"/>
          <w:spacing w:val="-3"/>
        </w:rPr>
        <w:t xml:space="preserve"> </w:t>
      </w:r>
      <w:r w:rsidR="001562C7" w:rsidRPr="00236C73">
        <w:rPr>
          <w:rFonts w:cs="Arial"/>
        </w:rPr>
        <w:t>December</w:t>
      </w:r>
      <w:r w:rsidR="001562C7" w:rsidRPr="00236C73">
        <w:rPr>
          <w:rFonts w:cs="Arial"/>
          <w:spacing w:val="-4"/>
        </w:rPr>
        <w:t xml:space="preserve"> </w:t>
      </w:r>
      <w:r w:rsidR="001562C7" w:rsidRPr="00236C73">
        <w:rPr>
          <w:rFonts w:cs="Arial"/>
        </w:rPr>
        <w:t>1911</w:t>
      </w:r>
      <w:r w:rsidR="001562C7">
        <w:rPr>
          <w:rFonts w:cs="Arial"/>
          <w:spacing w:val="-4"/>
        </w:rPr>
        <w:t>:</w:t>
      </w:r>
      <w:r w:rsidR="001562C7" w:rsidRPr="00236C73">
        <w:rPr>
          <w:rFonts w:cs="Arial"/>
        </w:rPr>
        <w:t>13</w:t>
      </w:r>
      <w:r w:rsidR="00226815">
        <w:rPr>
          <w:rFonts w:cs="Arial"/>
        </w:rPr>
        <w:t>)</w:t>
      </w:r>
      <w:r w:rsidR="00226815" w:rsidRPr="00523130">
        <w:rPr>
          <w:rFonts w:cs="Arial"/>
          <w:sz w:val="21"/>
          <w:szCs w:val="21"/>
        </w:rPr>
        <w:t>.</w:t>
      </w:r>
      <w:r w:rsidR="00226815" w:rsidRPr="000D68A8">
        <w:rPr>
          <w:rFonts w:cs="Arial"/>
          <w:sz w:val="21"/>
          <w:szCs w:val="21"/>
        </w:rPr>
        <w:t xml:space="preserve"> The</w:t>
      </w:r>
      <w:r w:rsidR="000D68A8" w:rsidRPr="000D68A8">
        <w:rPr>
          <w:rFonts w:cs="Arial"/>
          <w:sz w:val="21"/>
          <w:szCs w:val="21"/>
        </w:rPr>
        <w:t xml:space="preserve"> 1920 topographic map, which probably reflects the state of development a couple of years before it was published, shows a house on the north end of the property but no house</w:t>
      </w:r>
      <w:r w:rsidR="006A514C">
        <w:rPr>
          <w:rFonts w:cs="Arial"/>
          <w:sz w:val="21"/>
          <w:szCs w:val="21"/>
        </w:rPr>
        <w:t xml:space="preserve"> is identified within the subject site</w:t>
      </w:r>
      <w:r w:rsidR="00617579">
        <w:rPr>
          <w:rFonts w:cs="Arial"/>
          <w:sz w:val="21"/>
          <w:szCs w:val="2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2B5B38" w14:paraId="0B2BFEC8" w14:textId="77777777" w:rsidTr="006C6A02">
        <w:tc>
          <w:tcPr>
            <w:tcW w:w="8296" w:type="dxa"/>
          </w:tcPr>
          <w:p w14:paraId="5A29A857" w14:textId="02F3C83A" w:rsidR="002B5B38" w:rsidRDefault="00617579" w:rsidP="000D68A8">
            <w:pPr>
              <w:rPr>
                <w:rFonts w:cs="Arial"/>
                <w:sz w:val="21"/>
                <w:szCs w:val="21"/>
              </w:rPr>
            </w:pPr>
            <w:r>
              <w:rPr>
                <w:noProof/>
                <w:lang w:eastAsia="en-AU"/>
              </w:rPr>
              <mc:AlternateContent>
                <mc:Choice Requires="wps">
                  <w:drawing>
                    <wp:anchor distT="0" distB="0" distL="114300" distR="114300" simplePos="0" relativeHeight="251659264" behindDoc="0" locked="0" layoutInCell="1" allowOverlap="1" wp14:anchorId="5D550BF2" wp14:editId="2368A418">
                      <wp:simplePos x="0" y="0"/>
                      <wp:positionH relativeFrom="column">
                        <wp:posOffset>1716405</wp:posOffset>
                      </wp:positionH>
                      <wp:positionV relativeFrom="paragraph">
                        <wp:posOffset>1403350</wp:posOffset>
                      </wp:positionV>
                      <wp:extent cx="452120" cy="279400"/>
                      <wp:effectExtent l="19050" t="19050" r="24130" b="25400"/>
                      <wp:wrapNone/>
                      <wp:docPr id="2" name="Oval 2"/>
                      <wp:cNvGraphicFramePr/>
                      <a:graphic xmlns:a="http://schemas.openxmlformats.org/drawingml/2006/main">
                        <a:graphicData uri="http://schemas.microsoft.com/office/word/2010/wordprocessingShape">
                          <wps:wsp>
                            <wps:cNvSpPr/>
                            <wps:spPr>
                              <a:xfrm>
                                <a:off x="0" y="0"/>
                                <a:ext cx="452120" cy="2794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oval w14:anchorId="67E02C71" id="Oval 2" o:spid="_x0000_s1026" style="position:absolute;margin-left:135.15pt;margin-top:110.5pt;width:35.6pt;height:2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" filled="f" strokecolor="red" strokeweight="2.25pt">
                      <v:stroke joinstyle="miter"/>
                    </v:oval>
                  </w:pict>
                </mc:Fallback>
              </mc:AlternateContent>
            </w:r>
            <w:r w:rsidR="002B5B38">
              <w:rPr>
                <w:noProof/>
                <w:lang w:eastAsia="en-AU"/>
              </w:rPr>
              <w:drawing>
                <wp:inline distT="0" distB="0" distL="0" distR="0" wp14:anchorId="476D0E93" wp14:editId="1BA70337">
                  <wp:extent cx="4770120" cy="251256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371" t="22347" r="1372" b="26026"/>
                          <a:stretch/>
                        </pic:blipFill>
                        <pic:spPr bwMode="auto">
                          <a:xfrm>
                            <a:off x="0" y="0"/>
                            <a:ext cx="4786504" cy="2521193"/>
                          </a:xfrm>
                          <a:prstGeom prst="rect">
                            <a:avLst/>
                          </a:prstGeom>
                          <a:ln>
                            <a:noFill/>
                          </a:ln>
                          <a:extLst>
                            <a:ext uri="{53640926-AAD7-44D8-BBD7-CCE9431645EC}">
                              <a14:shadowObscured xmlns:a14="http://schemas.microsoft.com/office/drawing/2010/main"/>
                            </a:ext>
                          </a:extLst>
                        </pic:spPr>
                      </pic:pic>
                    </a:graphicData>
                  </a:graphic>
                </wp:inline>
              </w:drawing>
            </w:r>
          </w:p>
        </w:tc>
      </w:tr>
      <w:tr w:rsidR="002B5B38" w14:paraId="0F284B2D" w14:textId="77777777" w:rsidTr="006C6A02">
        <w:tc>
          <w:tcPr>
            <w:tcW w:w="8296" w:type="dxa"/>
          </w:tcPr>
          <w:p w14:paraId="0EF323A0" w14:textId="28FFE5D0" w:rsidR="002B5B38" w:rsidRPr="006C6A02" w:rsidRDefault="006C6A02" w:rsidP="006C6A02">
            <w:pPr>
              <w:pStyle w:val="Caption"/>
              <w:ind w:left="0"/>
              <w:rPr>
                <w:sz w:val="21"/>
                <w:szCs w:val="21"/>
              </w:rPr>
            </w:pPr>
            <w:r>
              <w:t xml:space="preserve">Figure </w:t>
            </w:r>
            <w:fldSimple w:instr=" SEQ Figure \* ARABIC ">
              <w:r w:rsidR="004E338F">
                <w:rPr>
                  <w:noProof/>
                </w:rPr>
                <w:t>1</w:t>
              </w:r>
            </w:fldSimple>
            <w:r>
              <w:t xml:space="preserve">: </w:t>
            </w:r>
            <w:r w:rsidR="002B5B38">
              <w:rPr>
                <w:sz w:val="21"/>
                <w:szCs w:val="21"/>
              </w:rPr>
              <w:t xml:space="preserve">Extract of the plan of </w:t>
            </w:r>
            <w:r w:rsidR="002B5B38" w:rsidRPr="00236C73">
              <w:t>Yan</w:t>
            </w:r>
            <w:r w:rsidR="002B5B38" w:rsidRPr="00236C73">
              <w:rPr>
                <w:spacing w:val="-3"/>
              </w:rPr>
              <w:t xml:space="preserve"> </w:t>
            </w:r>
            <w:r w:rsidR="002B5B38" w:rsidRPr="00236C73">
              <w:t>Yean</w:t>
            </w:r>
            <w:r w:rsidR="002B5B38">
              <w:t xml:space="preserve"> shows the locality of Diamond Creek in 1920. The subject site</w:t>
            </w:r>
            <w:r w:rsidR="00617579">
              <w:t xml:space="preserve"> (indicated with red)</w:t>
            </w:r>
            <w:r w:rsidR="002B5B38">
              <w:t xml:space="preserve"> was an empty paddock at that time. Source: </w:t>
            </w:r>
            <w:r w:rsidR="00617579">
              <w:t>National Library of Australia.</w:t>
            </w:r>
          </w:p>
          <w:p w14:paraId="31D9E4B9" w14:textId="20AA63B4" w:rsidR="002B5B38" w:rsidRDefault="002B5B38" w:rsidP="006C6A02">
            <w:pPr>
              <w:keepNext/>
              <w:rPr>
                <w:rFonts w:cs="Arial"/>
                <w:sz w:val="21"/>
                <w:szCs w:val="21"/>
              </w:rPr>
            </w:pPr>
          </w:p>
        </w:tc>
      </w:tr>
    </w:tbl>
    <w:p w14:paraId="0106FD82" w14:textId="7C318C26" w:rsidR="000D68A8" w:rsidRPr="000D68A8" w:rsidRDefault="00617579" w:rsidP="000D68A8">
      <w:pPr>
        <w:rPr>
          <w:rFonts w:cs="Arial"/>
          <w:sz w:val="21"/>
          <w:szCs w:val="21"/>
        </w:rPr>
      </w:pPr>
      <w:r>
        <w:rPr>
          <w:rFonts w:cs="Arial"/>
          <w:sz w:val="21"/>
          <w:szCs w:val="21"/>
        </w:rPr>
        <w:t>In 1920, the subject site</w:t>
      </w:r>
      <w:r w:rsidR="005D1558">
        <w:rPr>
          <w:rFonts w:cs="Arial"/>
          <w:sz w:val="21"/>
          <w:szCs w:val="21"/>
        </w:rPr>
        <w:t xml:space="preserve"> (Lot 12)</w:t>
      </w:r>
      <w:r>
        <w:rPr>
          <w:rFonts w:cs="Arial"/>
          <w:sz w:val="21"/>
          <w:szCs w:val="21"/>
        </w:rPr>
        <w:t xml:space="preserve"> was purchased by Rose and H</w:t>
      </w:r>
      <w:r w:rsidR="005D1558">
        <w:rPr>
          <w:rFonts w:cs="Arial"/>
          <w:sz w:val="21"/>
          <w:szCs w:val="21"/>
        </w:rPr>
        <w:t xml:space="preserve">enry </w:t>
      </w:r>
      <w:r>
        <w:rPr>
          <w:rFonts w:cs="Arial"/>
          <w:sz w:val="21"/>
          <w:szCs w:val="21"/>
        </w:rPr>
        <w:t xml:space="preserve">P Thomson, formerly of Mildura. </w:t>
      </w:r>
      <w:r w:rsidR="000D68A8" w:rsidRPr="000D68A8">
        <w:rPr>
          <w:rFonts w:cs="Arial"/>
          <w:sz w:val="21"/>
          <w:szCs w:val="21"/>
        </w:rPr>
        <w:t>H</w:t>
      </w:r>
      <w:r w:rsidR="005D1558">
        <w:rPr>
          <w:rFonts w:cs="Arial"/>
          <w:sz w:val="21"/>
          <w:szCs w:val="21"/>
        </w:rPr>
        <w:t>enry</w:t>
      </w:r>
      <w:r>
        <w:rPr>
          <w:rFonts w:cs="Arial"/>
          <w:sz w:val="21"/>
          <w:szCs w:val="21"/>
        </w:rPr>
        <w:t xml:space="preserve"> </w:t>
      </w:r>
      <w:r w:rsidR="005D1558">
        <w:rPr>
          <w:rFonts w:cs="Arial"/>
          <w:sz w:val="21"/>
          <w:szCs w:val="21"/>
        </w:rPr>
        <w:t xml:space="preserve">P </w:t>
      </w:r>
      <w:r>
        <w:rPr>
          <w:rFonts w:cs="Arial"/>
          <w:sz w:val="21"/>
          <w:szCs w:val="21"/>
        </w:rPr>
        <w:t>Thomson</w:t>
      </w:r>
      <w:r w:rsidR="0040617F">
        <w:rPr>
          <w:rFonts w:cs="Arial"/>
          <w:sz w:val="21"/>
          <w:szCs w:val="21"/>
        </w:rPr>
        <w:t>, who</w:t>
      </w:r>
      <w:r>
        <w:rPr>
          <w:rFonts w:cs="Arial"/>
          <w:sz w:val="21"/>
          <w:szCs w:val="21"/>
        </w:rPr>
        <w:t xml:space="preserve"> was</w:t>
      </w:r>
      <w:r w:rsidR="000D68A8" w:rsidRPr="000D68A8">
        <w:rPr>
          <w:rFonts w:cs="Arial"/>
          <w:sz w:val="21"/>
          <w:szCs w:val="21"/>
        </w:rPr>
        <w:t xml:space="preserve"> a merchant</w:t>
      </w:r>
      <w:r w:rsidR="0040617F">
        <w:rPr>
          <w:rFonts w:cs="Arial"/>
          <w:sz w:val="21"/>
          <w:szCs w:val="21"/>
        </w:rPr>
        <w:t>,</w:t>
      </w:r>
      <w:r>
        <w:rPr>
          <w:rFonts w:cs="Arial"/>
          <w:sz w:val="21"/>
          <w:szCs w:val="21"/>
        </w:rPr>
        <w:t xml:space="preserve"> had also been chairman of the First Mildura Irrigation Trust (</w:t>
      </w:r>
      <w:r w:rsidRPr="00236C73">
        <w:rPr>
          <w:rFonts w:cs="Arial"/>
          <w:i/>
        </w:rPr>
        <w:t>Mildura</w:t>
      </w:r>
      <w:r w:rsidRPr="00236C73">
        <w:rPr>
          <w:rFonts w:cs="Arial"/>
          <w:i/>
          <w:spacing w:val="-1"/>
        </w:rPr>
        <w:t xml:space="preserve"> </w:t>
      </w:r>
      <w:r w:rsidRPr="00236C73">
        <w:rPr>
          <w:rFonts w:cs="Arial"/>
          <w:i/>
        </w:rPr>
        <w:t>Telegraph</w:t>
      </w:r>
      <w:r w:rsidRPr="00236C73">
        <w:rPr>
          <w:rFonts w:cs="Arial"/>
          <w:i/>
          <w:spacing w:val="-1"/>
        </w:rPr>
        <w:t xml:space="preserve"> </w:t>
      </w:r>
      <w:r w:rsidRPr="00236C73">
        <w:rPr>
          <w:rFonts w:cs="Arial"/>
          <w:i/>
        </w:rPr>
        <w:t>&amp;</w:t>
      </w:r>
      <w:r w:rsidRPr="00236C73">
        <w:rPr>
          <w:rFonts w:cs="Arial"/>
          <w:i/>
          <w:spacing w:val="1"/>
        </w:rPr>
        <w:t xml:space="preserve"> </w:t>
      </w:r>
      <w:r w:rsidRPr="00236C73">
        <w:rPr>
          <w:rFonts w:cs="Arial"/>
          <w:i/>
        </w:rPr>
        <w:t>Darling</w:t>
      </w:r>
      <w:r w:rsidRPr="00236C73">
        <w:rPr>
          <w:rFonts w:cs="Arial"/>
          <w:i/>
          <w:spacing w:val="2"/>
        </w:rPr>
        <w:t xml:space="preserve"> </w:t>
      </w:r>
      <w:r w:rsidRPr="00236C73">
        <w:rPr>
          <w:rFonts w:cs="Arial"/>
          <w:i/>
        </w:rPr>
        <w:t>&amp;</w:t>
      </w:r>
      <w:r w:rsidRPr="00236C73">
        <w:rPr>
          <w:rFonts w:cs="Arial"/>
          <w:i/>
          <w:spacing w:val="-1"/>
        </w:rPr>
        <w:t xml:space="preserve"> </w:t>
      </w:r>
      <w:r w:rsidRPr="00236C73">
        <w:rPr>
          <w:rFonts w:cs="Arial"/>
          <w:i/>
        </w:rPr>
        <w:t>Lower</w:t>
      </w:r>
      <w:r w:rsidRPr="00236C73">
        <w:rPr>
          <w:rFonts w:cs="Arial"/>
          <w:i/>
          <w:spacing w:val="-2"/>
        </w:rPr>
        <w:t xml:space="preserve"> </w:t>
      </w:r>
      <w:r w:rsidRPr="00236C73">
        <w:rPr>
          <w:rFonts w:cs="Arial"/>
          <w:i/>
        </w:rPr>
        <w:t>Murray</w:t>
      </w:r>
      <w:r w:rsidRPr="00236C73">
        <w:rPr>
          <w:rFonts w:cs="Arial"/>
          <w:i/>
          <w:spacing w:val="-2"/>
        </w:rPr>
        <w:t xml:space="preserve"> </w:t>
      </w:r>
      <w:r w:rsidRPr="00236C73">
        <w:rPr>
          <w:rFonts w:cs="Arial"/>
          <w:i/>
        </w:rPr>
        <w:t>Advocate</w:t>
      </w:r>
      <w:r w:rsidRPr="00236C73">
        <w:rPr>
          <w:rFonts w:cs="Arial"/>
        </w:rPr>
        <w:t>,</w:t>
      </w:r>
      <w:r w:rsidRPr="00236C73">
        <w:rPr>
          <w:rFonts w:cs="Arial"/>
          <w:spacing w:val="-1"/>
        </w:rPr>
        <w:t xml:space="preserve"> </w:t>
      </w:r>
      <w:r w:rsidRPr="00236C73">
        <w:rPr>
          <w:rFonts w:cs="Arial"/>
        </w:rPr>
        <w:t>15</w:t>
      </w:r>
      <w:r w:rsidRPr="00236C73">
        <w:rPr>
          <w:rFonts w:cs="Arial"/>
          <w:spacing w:val="-1"/>
        </w:rPr>
        <w:t xml:space="preserve"> </w:t>
      </w:r>
      <w:r w:rsidRPr="00236C73">
        <w:rPr>
          <w:rFonts w:cs="Arial"/>
        </w:rPr>
        <w:t>October 1918</w:t>
      </w:r>
      <w:r>
        <w:rPr>
          <w:rFonts w:cs="Arial"/>
          <w:spacing w:val="-2"/>
        </w:rPr>
        <w:t xml:space="preserve">: 4). </w:t>
      </w:r>
      <w:r w:rsidR="000D68A8" w:rsidRPr="000D68A8">
        <w:rPr>
          <w:rFonts w:cs="Arial"/>
          <w:sz w:val="21"/>
          <w:szCs w:val="21"/>
        </w:rPr>
        <w:t xml:space="preserve">The </w:t>
      </w:r>
      <w:r w:rsidR="005D1558">
        <w:rPr>
          <w:rFonts w:cs="Arial"/>
          <w:sz w:val="21"/>
          <w:szCs w:val="21"/>
        </w:rPr>
        <w:t xml:space="preserve">subject site, which the </w:t>
      </w:r>
      <w:r w:rsidR="00E017C0">
        <w:rPr>
          <w:rFonts w:cs="Arial"/>
          <w:sz w:val="21"/>
          <w:szCs w:val="21"/>
        </w:rPr>
        <w:t>Thomson’s</w:t>
      </w:r>
      <w:r w:rsidR="005D1558">
        <w:rPr>
          <w:rFonts w:cs="Arial"/>
          <w:sz w:val="21"/>
          <w:szCs w:val="21"/>
        </w:rPr>
        <w:t xml:space="preserve"> named ‘Larch Hill’, was to be used as their retirement home. </w:t>
      </w:r>
      <w:r w:rsidR="005D1558" w:rsidRPr="005D1558">
        <w:rPr>
          <w:rFonts w:cs="Arial"/>
          <w:sz w:val="21"/>
          <w:szCs w:val="21"/>
        </w:rPr>
        <w:t>The property was described as</w:t>
      </w:r>
      <w:r w:rsidR="000D68A8" w:rsidRPr="005D1558">
        <w:rPr>
          <w:rFonts w:cs="Arial"/>
          <w:sz w:val="21"/>
          <w:szCs w:val="21"/>
        </w:rPr>
        <w:t xml:space="preserve"> “a beautifully situated property of some twenty-six acres – fine woods, no dust, no sand, no mosquitoes, and glorious wattle in every direction.”</w:t>
      </w:r>
      <w:r w:rsidR="00EC7338" w:rsidRPr="005D1558">
        <w:rPr>
          <w:rFonts w:cs="Arial"/>
          <w:sz w:val="21"/>
          <w:szCs w:val="21"/>
        </w:rPr>
        <w:t xml:space="preserve"> (</w:t>
      </w:r>
      <w:r w:rsidR="00EC7338" w:rsidRPr="00236C73">
        <w:rPr>
          <w:rFonts w:cs="Arial"/>
          <w:i/>
        </w:rPr>
        <w:t>Mildura</w:t>
      </w:r>
      <w:r w:rsidR="00EC7338" w:rsidRPr="00236C73">
        <w:rPr>
          <w:rFonts w:cs="Arial"/>
          <w:i/>
          <w:spacing w:val="-2"/>
        </w:rPr>
        <w:t xml:space="preserve"> </w:t>
      </w:r>
      <w:r w:rsidR="00EC7338" w:rsidRPr="00236C73">
        <w:rPr>
          <w:rFonts w:cs="Arial"/>
          <w:i/>
        </w:rPr>
        <w:t>Cultivator</w:t>
      </w:r>
      <w:r w:rsidR="00EC7338" w:rsidRPr="00236C73">
        <w:rPr>
          <w:rFonts w:cs="Arial"/>
        </w:rPr>
        <w:t>,</w:t>
      </w:r>
      <w:r w:rsidR="00EC7338" w:rsidRPr="00236C73">
        <w:rPr>
          <w:rFonts w:cs="Arial"/>
          <w:spacing w:val="-2"/>
        </w:rPr>
        <w:t xml:space="preserve"> </w:t>
      </w:r>
      <w:r w:rsidR="00EC7338" w:rsidRPr="00236C73">
        <w:rPr>
          <w:rFonts w:cs="Arial"/>
        </w:rPr>
        <w:t>28</w:t>
      </w:r>
      <w:r w:rsidR="00EC7338" w:rsidRPr="00236C73">
        <w:rPr>
          <w:rFonts w:cs="Arial"/>
          <w:spacing w:val="-3"/>
        </w:rPr>
        <w:t xml:space="preserve"> </w:t>
      </w:r>
      <w:r w:rsidR="00EC7338" w:rsidRPr="00236C73">
        <w:rPr>
          <w:rFonts w:cs="Arial"/>
        </w:rPr>
        <w:t>August 1920</w:t>
      </w:r>
      <w:r w:rsidR="00EC7338">
        <w:rPr>
          <w:rFonts w:cs="Arial"/>
          <w:spacing w:val="-3"/>
        </w:rPr>
        <w:t>:</w:t>
      </w:r>
      <w:r w:rsidR="00EC7338" w:rsidRPr="00236C73">
        <w:rPr>
          <w:rFonts w:cs="Arial"/>
        </w:rPr>
        <w:t>12</w:t>
      </w:r>
      <w:r w:rsidR="00EC7338">
        <w:rPr>
          <w:rFonts w:cs="Arial"/>
        </w:rPr>
        <w:t>)</w:t>
      </w:r>
      <w:r w:rsidR="005D1558">
        <w:rPr>
          <w:rFonts w:cs="Arial"/>
          <w:sz w:val="21"/>
          <w:szCs w:val="21"/>
        </w:rPr>
        <w:t xml:space="preserve">. A new house was constructed within Lot 12 in c1920-22. </w:t>
      </w:r>
      <w:r w:rsidR="000D68A8" w:rsidRPr="000D68A8">
        <w:rPr>
          <w:rFonts w:cs="Arial"/>
          <w:sz w:val="21"/>
          <w:szCs w:val="21"/>
        </w:rPr>
        <w:t xml:space="preserve">The 1921- 22 rate book shows Harry Thomson as the occupier and Rose Thomson as the owner of Lot 12, </w:t>
      </w:r>
      <w:r w:rsidR="005D1558">
        <w:rPr>
          <w:rFonts w:cs="Arial"/>
          <w:sz w:val="21"/>
          <w:szCs w:val="21"/>
        </w:rPr>
        <w:t xml:space="preserve">comprising </w:t>
      </w:r>
      <w:r w:rsidR="000D68A8" w:rsidRPr="000D68A8">
        <w:rPr>
          <w:rFonts w:cs="Arial"/>
          <w:sz w:val="21"/>
          <w:szCs w:val="21"/>
        </w:rPr>
        <w:t xml:space="preserve">20 acres with a house. This considerable increase in value indicates that a substantial new house had been built. Rose also owned 6 </w:t>
      </w:r>
      <w:r w:rsidR="00226815" w:rsidRPr="000D68A8">
        <w:rPr>
          <w:rFonts w:cs="Arial"/>
          <w:sz w:val="21"/>
          <w:szCs w:val="21"/>
        </w:rPr>
        <w:t>acres’</w:t>
      </w:r>
      <w:r w:rsidR="000D68A8" w:rsidRPr="000D68A8">
        <w:rPr>
          <w:rFonts w:cs="Arial"/>
          <w:sz w:val="21"/>
          <w:szCs w:val="21"/>
        </w:rPr>
        <w:t xml:space="preserve"> part of a subdivision of Lot 18A, just to the west</w:t>
      </w:r>
      <w:r w:rsidR="005A3476">
        <w:rPr>
          <w:rFonts w:cs="Arial"/>
          <w:sz w:val="21"/>
          <w:szCs w:val="21"/>
        </w:rPr>
        <w:t xml:space="preserve"> (RB</w:t>
      </w:r>
      <w:r w:rsidR="005D1558">
        <w:rPr>
          <w:rFonts w:cs="Arial"/>
          <w:sz w:val="21"/>
          <w:szCs w:val="21"/>
        </w:rPr>
        <w:t xml:space="preserve"> 1922, 1923</w:t>
      </w:r>
      <w:r w:rsidR="005A3476">
        <w:rPr>
          <w:rFonts w:cs="Arial"/>
          <w:sz w:val="21"/>
          <w:szCs w:val="21"/>
        </w:rPr>
        <w:t>)</w:t>
      </w:r>
      <w:r w:rsidR="000D68A8" w:rsidRPr="000D68A8">
        <w:rPr>
          <w:rFonts w:cs="Arial"/>
          <w:sz w:val="21"/>
          <w:szCs w:val="21"/>
        </w:rPr>
        <w:t>.</w:t>
      </w:r>
    </w:p>
    <w:p w14:paraId="043820B3" w14:textId="77777777" w:rsidR="000D68A8" w:rsidRPr="000D68A8" w:rsidRDefault="000D68A8" w:rsidP="000D68A8">
      <w:pPr>
        <w:rPr>
          <w:rFonts w:cs="Arial"/>
          <w:sz w:val="21"/>
          <w:szCs w:val="21"/>
        </w:rPr>
      </w:pPr>
    </w:p>
    <w:p w14:paraId="784B168B" w14:textId="3CA55A29" w:rsidR="000D68A8" w:rsidRDefault="000D68A8" w:rsidP="000D68A8">
      <w:pPr>
        <w:rPr>
          <w:rFonts w:cs="Arial"/>
          <w:sz w:val="21"/>
          <w:szCs w:val="21"/>
        </w:rPr>
      </w:pPr>
      <w:r w:rsidRPr="000D68A8">
        <w:rPr>
          <w:rFonts w:cs="Arial"/>
          <w:sz w:val="21"/>
          <w:szCs w:val="21"/>
        </w:rPr>
        <w:t xml:space="preserve">The </w:t>
      </w:r>
      <w:r w:rsidR="00E017C0" w:rsidRPr="000D68A8">
        <w:rPr>
          <w:rFonts w:cs="Arial"/>
          <w:sz w:val="21"/>
          <w:szCs w:val="21"/>
        </w:rPr>
        <w:t>Thomson’s</w:t>
      </w:r>
      <w:r w:rsidRPr="000D68A8">
        <w:rPr>
          <w:rFonts w:cs="Arial"/>
          <w:sz w:val="21"/>
          <w:szCs w:val="21"/>
        </w:rPr>
        <w:t xml:space="preserve"> kept the orchard </w:t>
      </w:r>
      <w:r w:rsidR="00470864">
        <w:rPr>
          <w:rFonts w:cs="Arial"/>
          <w:sz w:val="21"/>
          <w:szCs w:val="21"/>
        </w:rPr>
        <w:t>and</w:t>
      </w:r>
      <w:r w:rsidRPr="000D68A8">
        <w:rPr>
          <w:rFonts w:cs="Arial"/>
          <w:sz w:val="21"/>
          <w:szCs w:val="21"/>
        </w:rPr>
        <w:t xml:space="preserve"> it appears the</w:t>
      </w:r>
      <w:r w:rsidR="00470864">
        <w:rPr>
          <w:rFonts w:cs="Arial"/>
          <w:sz w:val="21"/>
          <w:szCs w:val="21"/>
        </w:rPr>
        <w:t xml:space="preserve">y </w:t>
      </w:r>
      <w:r w:rsidRPr="000D68A8">
        <w:rPr>
          <w:rFonts w:cs="Arial"/>
          <w:sz w:val="21"/>
          <w:szCs w:val="21"/>
        </w:rPr>
        <w:t>employed others to run it. In 1923 they advertised for an orchard hand</w:t>
      </w:r>
      <w:r w:rsidR="005A3476">
        <w:rPr>
          <w:rFonts w:cs="Arial"/>
          <w:sz w:val="21"/>
          <w:szCs w:val="21"/>
        </w:rPr>
        <w:t xml:space="preserve"> (</w:t>
      </w:r>
      <w:r w:rsidR="005A3476" w:rsidRPr="00236C73">
        <w:rPr>
          <w:i/>
        </w:rPr>
        <w:t>Age</w:t>
      </w:r>
      <w:r w:rsidR="005A3476" w:rsidRPr="00236C73">
        <w:t>, 10 February 1923</w:t>
      </w:r>
      <w:r w:rsidR="005A3476">
        <w:rPr>
          <w:spacing w:val="-2"/>
        </w:rPr>
        <w:t>:</w:t>
      </w:r>
      <w:r w:rsidR="005A3476" w:rsidRPr="00236C73">
        <w:t>7</w:t>
      </w:r>
      <w:r w:rsidR="005A3476">
        <w:rPr>
          <w:rFonts w:cs="Arial"/>
          <w:sz w:val="21"/>
          <w:szCs w:val="21"/>
        </w:rPr>
        <w:t>)</w:t>
      </w:r>
      <w:r w:rsidRPr="000D68A8">
        <w:rPr>
          <w:rFonts w:cs="Arial"/>
          <w:sz w:val="21"/>
          <w:szCs w:val="21"/>
        </w:rPr>
        <w:t xml:space="preserve">. The </w:t>
      </w:r>
      <w:r w:rsidR="00E017C0" w:rsidRPr="000D68A8">
        <w:rPr>
          <w:rFonts w:cs="Arial"/>
          <w:sz w:val="21"/>
          <w:szCs w:val="21"/>
        </w:rPr>
        <w:t>Thomson’s</w:t>
      </w:r>
      <w:r w:rsidRPr="000D68A8">
        <w:rPr>
          <w:rFonts w:cs="Arial"/>
          <w:sz w:val="21"/>
          <w:szCs w:val="21"/>
        </w:rPr>
        <w:t xml:space="preserve"> advertised for someone to plough 23 acres of orchard in 1931</w:t>
      </w:r>
      <w:r w:rsidR="00FA47BE">
        <w:rPr>
          <w:rFonts w:cs="Arial"/>
          <w:sz w:val="21"/>
          <w:szCs w:val="21"/>
        </w:rPr>
        <w:t xml:space="preserve"> (</w:t>
      </w:r>
      <w:r w:rsidR="00FA47BE" w:rsidRPr="006C6A02">
        <w:rPr>
          <w:rFonts w:cs="Arial"/>
          <w:i/>
        </w:rPr>
        <w:t>Hurstbrid</w:t>
      </w:r>
      <w:r w:rsidR="006C6A02" w:rsidRPr="006C6A02">
        <w:rPr>
          <w:rFonts w:cs="Arial"/>
          <w:i/>
        </w:rPr>
        <w:t>ge Advertiser</w:t>
      </w:r>
      <w:r w:rsidR="00FA47BE" w:rsidRPr="006C6A02">
        <w:rPr>
          <w:rFonts w:cs="Arial"/>
        </w:rPr>
        <w:t>,</w:t>
      </w:r>
      <w:r w:rsidR="00FA47BE" w:rsidRPr="00236C73">
        <w:rPr>
          <w:rFonts w:cs="Arial"/>
          <w:spacing w:val="-2"/>
        </w:rPr>
        <w:t xml:space="preserve"> </w:t>
      </w:r>
      <w:r w:rsidR="00FA47BE" w:rsidRPr="00236C73">
        <w:rPr>
          <w:rFonts w:cs="Arial"/>
        </w:rPr>
        <w:t>31</w:t>
      </w:r>
      <w:r w:rsidR="00FA47BE" w:rsidRPr="00236C73">
        <w:rPr>
          <w:rFonts w:cs="Arial"/>
          <w:spacing w:val="-4"/>
        </w:rPr>
        <w:t xml:space="preserve"> </w:t>
      </w:r>
      <w:r w:rsidR="00FA47BE" w:rsidRPr="00236C73">
        <w:rPr>
          <w:rFonts w:cs="Arial"/>
        </w:rPr>
        <w:t>July</w:t>
      </w:r>
      <w:r w:rsidR="00FA47BE" w:rsidRPr="00236C73">
        <w:rPr>
          <w:rFonts w:cs="Arial"/>
          <w:spacing w:val="-2"/>
        </w:rPr>
        <w:t xml:space="preserve"> </w:t>
      </w:r>
      <w:r w:rsidR="00FA47BE" w:rsidRPr="00236C73">
        <w:rPr>
          <w:rFonts w:cs="Arial"/>
        </w:rPr>
        <w:t>1931</w:t>
      </w:r>
      <w:r w:rsidR="00FA47BE">
        <w:rPr>
          <w:rFonts w:cs="Arial"/>
          <w:spacing w:val="-3"/>
        </w:rPr>
        <w:t>:</w:t>
      </w:r>
      <w:r w:rsidR="00FA47BE" w:rsidRPr="00236C73">
        <w:rPr>
          <w:rFonts w:cs="Arial"/>
        </w:rPr>
        <w:t>.5</w:t>
      </w:r>
      <w:r w:rsidR="00FA47BE">
        <w:rPr>
          <w:rFonts w:cs="Arial"/>
        </w:rPr>
        <w:t>)</w:t>
      </w:r>
      <w:r w:rsidRPr="000D68A8">
        <w:rPr>
          <w:rFonts w:cs="Arial"/>
          <w:sz w:val="21"/>
          <w:szCs w:val="21"/>
        </w:rPr>
        <w:t xml:space="preserve">. In 1933 part of the property was advertised to let, with a house of 6 rooms and a cottage </w:t>
      </w:r>
      <w:r w:rsidRPr="000D68A8">
        <w:rPr>
          <w:rFonts w:cs="Arial"/>
          <w:sz w:val="21"/>
          <w:szCs w:val="21"/>
        </w:rPr>
        <w:lastRenderedPageBreak/>
        <w:t>of 3 rooms adjoining, and land of 1-4 acres</w:t>
      </w:r>
      <w:r w:rsidR="00FA47BE">
        <w:rPr>
          <w:rFonts w:cs="Arial"/>
          <w:sz w:val="21"/>
          <w:szCs w:val="21"/>
        </w:rPr>
        <w:t xml:space="preserve"> (</w:t>
      </w:r>
      <w:r w:rsidR="00FA47BE" w:rsidRPr="00236C73">
        <w:rPr>
          <w:rFonts w:cs="Arial"/>
          <w:i/>
        </w:rPr>
        <w:t>The</w:t>
      </w:r>
      <w:r w:rsidR="00FA47BE" w:rsidRPr="00236C73">
        <w:rPr>
          <w:rFonts w:cs="Arial"/>
          <w:i/>
          <w:spacing w:val="-2"/>
        </w:rPr>
        <w:t xml:space="preserve"> </w:t>
      </w:r>
      <w:r w:rsidR="00FA47BE" w:rsidRPr="00236C73">
        <w:rPr>
          <w:rFonts w:cs="Arial"/>
          <w:i/>
        </w:rPr>
        <w:t>Age</w:t>
      </w:r>
      <w:r w:rsidR="00FA47BE" w:rsidRPr="00236C73">
        <w:rPr>
          <w:rFonts w:cs="Arial"/>
        </w:rPr>
        <w:t>,</w:t>
      </w:r>
      <w:r w:rsidR="00FA47BE" w:rsidRPr="00236C73">
        <w:rPr>
          <w:rFonts w:cs="Arial"/>
          <w:spacing w:val="-2"/>
        </w:rPr>
        <w:t xml:space="preserve"> </w:t>
      </w:r>
      <w:r w:rsidR="00FA47BE" w:rsidRPr="00236C73">
        <w:rPr>
          <w:rFonts w:cs="Arial"/>
        </w:rPr>
        <w:t>27</w:t>
      </w:r>
      <w:r w:rsidR="00FA47BE" w:rsidRPr="00236C73">
        <w:rPr>
          <w:rFonts w:cs="Arial"/>
          <w:spacing w:val="-2"/>
        </w:rPr>
        <w:t xml:space="preserve"> </w:t>
      </w:r>
      <w:r w:rsidR="00FA47BE" w:rsidRPr="00236C73">
        <w:rPr>
          <w:rFonts w:cs="Arial"/>
        </w:rPr>
        <w:t>July</w:t>
      </w:r>
      <w:r w:rsidR="00FA47BE" w:rsidRPr="00236C73">
        <w:rPr>
          <w:rFonts w:cs="Arial"/>
          <w:spacing w:val="-2"/>
        </w:rPr>
        <w:t xml:space="preserve"> </w:t>
      </w:r>
      <w:r w:rsidR="00FA47BE" w:rsidRPr="00236C73">
        <w:rPr>
          <w:rFonts w:cs="Arial"/>
        </w:rPr>
        <w:t>1933</w:t>
      </w:r>
      <w:r w:rsidR="00FA47BE">
        <w:rPr>
          <w:rFonts w:cs="Arial"/>
          <w:spacing w:val="-3"/>
        </w:rPr>
        <w:t>:</w:t>
      </w:r>
      <w:r w:rsidR="00FA47BE" w:rsidRPr="00236C73">
        <w:rPr>
          <w:rFonts w:cs="Arial"/>
        </w:rPr>
        <w:t>14.</w:t>
      </w:r>
      <w:r w:rsidR="00FA47BE">
        <w:rPr>
          <w:rFonts w:cs="Arial"/>
        </w:rPr>
        <w:t>)</w:t>
      </w:r>
      <w:r w:rsidRPr="000D68A8">
        <w:rPr>
          <w:rFonts w:cs="Arial"/>
          <w:sz w:val="21"/>
          <w:szCs w:val="21"/>
        </w:rPr>
        <w:t xml:space="preserve"> By early 1934 the </w:t>
      </w:r>
      <w:r w:rsidR="00E017C0" w:rsidRPr="000D68A8">
        <w:rPr>
          <w:rFonts w:cs="Arial"/>
          <w:sz w:val="21"/>
          <w:szCs w:val="21"/>
        </w:rPr>
        <w:t>Thomson’s</w:t>
      </w:r>
      <w:r w:rsidRPr="000D68A8">
        <w:rPr>
          <w:rFonts w:cs="Arial"/>
          <w:sz w:val="21"/>
          <w:szCs w:val="21"/>
        </w:rPr>
        <w:t xml:space="preserve"> had moved to Caulfield</w:t>
      </w:r>
      <w:r w:rsidR="00FA47BE">
        <w:rPr>
          <w:rFonts w:cs="Arial"/>
          <w:sz w:val="21"/>
          <w:szCs w:val="21"/>
        </w:rPr>
        <w:t xml:space="preserve"> (</w:t>
      </w:r>
      <w:r w:rsidR="00FA47BE" w:rsidRPr="00236C73">
        <w:rPr>
          <w:rFonts w:cs="Arial"/>
          <w:i/>
        </w:rPr>
        <w:t>Table</w:t>
      </w:r>
      <w:r w:rsidR="00FA47BE" w:rsidRPr="00236C73">
        <w:rPr>
          <w:rFonts w:cs="Arial"/>
          <w:i/>
          <w:spacing w:val="-2"/>
        </w:rPr>
        <w:t xml:space="preserve"> </w:t>
      </w:r>
      <w:r w:rsidR="00FA47BE" w:rsidRPr="00236C73">
        <w:rPr>
          <w:rFonts w:cs="Arial"/>
          <w:i/>
        </w:rPr>
        <w:t>Talk</w:t>
      </w:r>
      <w:r w:rsidR="00FA47BE" w:rsidRPr="00236C73">
        <w:rPr>
          <w:rFonts w:cs="Arial"/>
        </w:rPr>
        <w:t>,</w:t>
      </w:r>
      <w:r w:rsidR="00FA47BE" w:rsidRPr="00236C73">
        <w:rPr>
          <w:rFonts w:cs="Arial"/>
          <w:spacing w:val="-4"/>
        </w:rPr>
        <w:t xml:space="preserve"> </w:t>
      </w:r>
      <w:r w:rsidR="00FA47BE" w:rsidRPr="00236C73">
        <w:rPr>
          <w:rFonts w:cs="Arial"/>
        </w:rPr>
        <w:t>25</w:t>
      </w:r>
      <w:r w:rsidR="00FA47BE" w:rsidRPr="00236C73">
        <w:rPr>
          <w:rFonts w:cs="Arial"/>
          <w:spacing w:val="-3"/>
        </w:rPr>
        <w:t xml:space="preserve"> </w:t>
      </w:r>
      <w:r w:rsidR="00FA47BE" w:rsidRPr="00236C73">
        <w:rPr>
          <w:rFonts w:cs="Arial"/>
        </w:rPr>
        <w:t>January</w:t>
      </w:r>
      <w:r w:rsidR="00FA47BE" w:rsidRPr="00236C73">
        <w:rPr>
          <w:rFonts w:cs="Arial"/>
          <w:spacing w:val="-3"/>
        </w:rPr>
        <w:t xml:space="preserve"> </w:t>
      </w:r>
      <w:r w:rsidR="00FA47BE" w:rsidRPr="00236C73">
        <w:rPr>
          <w:rFonts w:cs="Arial"/>
        </w:rPr>
        <w:t>1934</w:t>
      </w:r>
      <w:r w:rsidR="00FA47BE">
        <w:rPr>
          <w:rFonts w:cs="Arial"/>
        </w:rPr>
        <w:t>:</w:t>
      </w:r>
      <w:r w:rsidR="00FA47BE" w:rsidRPr="00236C73">
        <w:rPr>
          <w:rFonts w:cs="Arial"/>
        </w:rPr>
        <w:t>44</w:t>
      </w:r>
      <w:r w:rsidR="00FA47BE">
        <w:rPr>
          <w:rFonts w:cs="Arial"/>
        </w:rPr>
        <w:t>)</w:t>
      </w:r>
      <w:r w:rsidR="00FA47BE" w:rsidRPr="00236C73">
        <w:rPr>
          <w:rFonts w:cs="Arial"/>
        </w:rPr>
        <w:t>.</w:t>
      </w:r>
    </w:p>
    <w:p w14:paraId="13A9A0C5" w14:textId="77777777" w:rsidR="00813A96" w:rsidRPr="000D68A8" w:rsidRDefault="00813A96" w:rsidP="000D68A8">
      <w:pPr>
        <w:rPr>
          <w:rFonts w:cs="Arial"/>
          <w:sz w:val="21"/>
          <w:szCs w:val="21"/>
        </w:rPr>
      </w:pPr>
    </w:p>
    <w:p w14:paraId="7B294557" w14:textId="4964870B" w:rsidR="000D68A8" w:rsidRDefault="000D68A8" w:rsidP="000D68A8">
      <w:pPr>
        <w:rPr>
          <w:rFonts w:cs="Arial"/>
          <w:sz w:val="21"/>
          <w:szCs w:val="21"/>
        </w:rPr>
      </w:pPr>
      <w:r w:rsidRPr="000D68A8">
        <w:rPr>
          <w:rFonts w:cs="Arial"/>
          <w:sz w:val="21"/>
          <w:szCs w:val="21"/>
        </w:rPr>
        <w:t>In August 1936 James Murphy purchased the land. He died in October 1953, and probate went to Harriet Charlotte Murphy in 1954</w:t>
      </w:r>
      <w:r w:rsidR="00FA47BE">
        <w:rPr>
          <w:rFonts w:cs="Arial"/>
          <w:sz w:val="21"/>
          <w:szCs w:val="21"/>
        </w:rPr>
        <w:t xml:space="preserve"> (</w:t>
      </w:r>
      <w:r w:rsidR="00FA47BE">
        <w:rPr>
          <w:rFonts w:cs="Arial"/>
          <w:i/>
          <w:iCs/>
          <w:sz w:val="21"/>
          <w:szCs w:val="21"/>
        </w:rPr>
        <w:t xml:space="preserve">Age, </w:t>
      </w:r>
      <w:r w:rsidR="00FA47BE">
        <w:rPr>
          <w:rFonts w:cs="Arial"/>
          <w:sz w:val="21"/>
          <w:szCs w:val="21"/>
        </w:rPr>
        <w:t>14 August, 1943:4)</w:t>
      </w:r>
      <w:r w:rsidRPr="000D68A8">
        <w:rPr>
          <w:rFonts w:cs="Arial"/>
          <w:sz w:val="21"/>
          <w:szCs w:val="21"/>
        </w:rPr>
        <w:t>. In 1959 the property was sold to Charles Eric and Rae Constance Holland. Rae became the sole owner in 1967. The land was subdivided in 1971</w:t>
      </w:r>
      <w:r w:rsidR="00813A96">
        <w:rPr>
          <w:rFonts w:cs="Arial"/>
          <w:sz w:val="21"/>
          <w:szCs w:val="21"/>
        </w:rPr>
        <w:t>(CT</w:t>
      </w:r>
      <w:r w:rsidR="00FA47BE">
        <w:rPr>
          <w:rFonts w:cs="Arial"/>
          <w:sz w:val="21"/>
          <w:szCs w:val="21"/>
        </w:rPr>
        <w:t>: V4196 F139).</w:t>
      </w:r>
    </w:p>
    <w:p w14:paraId="7740E9AA" w14:textId="77777777" w:rsidR="000D68A8" w:rsidRDefault="000D68A8" w:rsidP="00523130">
      <w:pPr>
        <w:rPr>
          <w:rFonts w:cs="Arial"/>
          <w:sz w:val="21"/>
          <w:szCs w:val="21"/>
        </w:rPr>
      </w:pPr>
    </w:p>
    <w:p w14:paraId="5B94D503" w14:textId="77777777" w:rsidR="00A84E45" w:rsidRPr="004634C9" w:rsidRDefault="00A84E45" w:rsidP="0053253F">
      <w:pPr>
        <w:rPr>
          <w:rFonts w:cs="Arial"/>
          <w:sz w:val="21"/>
          <w:szCs w:val="21"/>
        </w:rPr>
      </w:pPr>
    </w:p>
    <w:p w14:paraId="3DC75B64" w14:textId="77777777" w:rsidR="00955B5A" w:rsidRDefault="00F0333B" w:rsidP="0053253F">
      <w:pPr>
        <w:rPr>
          <w:rFonts w:cs="Arial"/>
          <w:b/>
          <w:sz w:val="21"/>
          <w:szCs w:val="21"/>
        </w:rPr>
      </w:pPr>
      <w:r w:rsidRPr="00533CF2">
        <w:rPr>
          <w:rFonts w:cs="Arial"/>
          <w:b/>
          <w:sz w:val="21"/>
          <w:szCs w:val="21"/>
        </w:rPr>
        <w:t>Description &amp; Integrity</w:t>
      </w:r>
    </w:p>
    <w:p w14:paraId="2409ED43" w14:textId="6A9B4415" w:rsidR="004B3D4D" w:rsidRDefault="004B3D4D" w:rsidP="0053253F">
      <w:pPr>
        <w:rPr>
          <w:rFonts w:cs="Arial"/>
          <w:sz w:val="21"/>
          <w:szCs w:val="21"/>
        </w:rPr>
      </w:pPr>
    </w:p>
    <w:p w14:paraId="3E3811A2" w14:textId="485ADE75" w:rsidR="000D55B5" w:rsidRDefault="00806065" w:rsidP="0053253F">
      <w:pPr>
        <w:rPr>
          <w:rFonts w:cs="Arial"/>
          <w:sz w:val="21"/>
          <w:szCs w:val="21"/>
        </w:rPr>
      </w:pPr>
      <w:r w:rsidRPr="00806065">
        <w:rPr>
          <w:rFonts w:cs="Arial"/>
          <w:sz w:val="21"/>
          <w:szCs w:val="21"/>
        </w:rPr>
        <w:t xml:space="preserve">The site </w:t>
      </w:r>
      <w:r w:rsidR="00EE0A72">
        <w:rPr>
          <w:rFonts w:cs="Arial"/>
          <w:sz w:val="21"/>
          <w:szCs w:val="21"/>
        </w:rPr>
        <w:t xml:space="preserve">is a </w:t>
      </w:r>
      <w:r w:rsidR="00651A62">
        <w:rPr>
          <w:rFonts w:cs="Arial"/>
          <w:sz w:val="21"/>
          <w:szCs w:val="21"/>
        </w:rPr>
        <w:t>large</w:t>
      </w:r>
      <w:r w:rsidR="00EE0A72">
        <w:rPr>
          <w:rFonts w:cs="Arial"/>
          <w:sz w:val="21"/>
          <w:szCs w:val="21"/>
        </w:rPr>
        <w:t xml:space="preserve"> block</w:t>
      </w:r>
      <w:r w:rsidR="000D55B5">
        <w:rPr>
          <w:rFonts w:cs="Arial"/>
          <w:sz w:val="21"/>
          <w:szCs w:val="21"/>
        </w:rPr>
        <w:t xml:space="preserve"> and is</w:t>
      </w:r>
      <w:r w:rsidR="00EE0A72">
        <w:rPr>
          <w:rFonts w:cs="Arial"/>
          <w:sz w:val="21"/>
          <w:szCs w:val="21"/>
        </w:rPr>
        <w:t xml:space="preserve"> marked by a combination of timber and stone fencing. A circular driveway, which is access via </w:t>
      </w:r>
      <w:r w:rsidR="000D55B5">
        <w:rPr>
          <w:rFonts w:cs="Arial"/>
          <w:sz w:val="21"/>
          <w:szCs w:val="21"/>
        </w:rPr>
        <w:t xml:space="preserve">Hillmartin Lane, is located on the southern section of the property, </w:t>
      </w:r>
      <w:r w:rsidR="00651A62">
        <w:rPr>
          <w:rFonts w:cs="Arial"/>
          <w:sz w:val="21"/>
          <w:szCs w:val="21"/>
        </w:rPr>
        <w:t>leading to a c1920s weatherboard bungalow and an outbuilding</w:t>
      </w:r>
      <w:r w:rsidR="000D55B5">
        <w:rPr>
          <w:rFonts w:cs="Arial"/>
          <w:sz w:val="21"/>
          <w:szCs w:val="21"/>
        </w:rPr>
        <w:t xml:space="preserve">. Mature trees </w:t>
      </w:r>
      <w:r w:rsidR="00651A62">
        <w:rPr>
          <w:rFonts w:cs="Arial"/>
          <w:sz w:val="21"/>
          <w:szCs w:val="21"/>
        </w:rPr>
        <w:t xml:space="preserve">and vegetation spread across the property. </w:t>
      </w:r>
      <w:r w:rsidRPr="00806065">
        <w:rPr>
          <w:rFonts w:cs="Arial"/>
          <w:sz w:val="21"/>
          <w:szCs w:val="21"/>
        </w:rPr>
        <w:t xml:space="preserve"> </w:t>
      </w:r>
    </w:p>
    <w:p w14:paraId="3F87503E" w14:textId="77777777" w:rsidR="000D55B5" w:rsidRDefault="000D55B5" w:rsidP="0053253F">
      <w:pPr>
        <w:rPr>
          <w:rFonts w:cs="Arial"/>
          <w:sz w:val="21"/>
          <w:szCs w:val="21"/>
        </w:rPr>
      </w:pPr>
    </w:p>
    <w:p w14:paraId="3FD3392A" w14:textId="4DE8CF66" w:rsidR="00B82E35" w:rsidRDefault="000D55B5" w:rsidP="0053253F">
      <w:pPr>
        <w:rPr>
          <w:rFonts w:cs="Arial"/>
          <w:sz w:val="21"/>
          <w:szCs w:val="21"/>
        </w:rPr>
      </w:pPr>
      <w:r>
        <w:rPr>
          <w:rFonts w:cs="Arial"/>
          <w:sz w:val="21"/>
          <w:szCs w:val="21"/>
        </w:rPr>
        <w:t xml:space="preserve">The </w:t>
      </w:r>
      <w:r w:rsidR="00651A62">
        <w:rPr>
          <w:rFonts w:cs="Arial"/>
          <w:sz w:val="21"/>
          <w:szCs w:val="21"/>
        </w:rPr>
        <w:t xml:space="preserve">bungalow </w:t>
      </w:r>
      <w:r w:rsidR="007B278A">
        <w:rPr>
          <w:rFonts w:cs="Arial"/>
          <w:sz w:val="21"/>
          <w:szCs w:val="21"/>
        </w:rPr>
        <w:t>comprises a rectangular plan form with a</w:t>
      </w:r>
      <w:r w:rsidR="009F03B0">
        <w:rPr>
          <w:rFonts w:cs="Arial"/>
          <w:sz w:val="21"/>
          <w:szCs w:val="21"/>
        </w:rPr>
        <w:t xml:space="preserve"> narrower </w:t>
      </w:r>
      <w:r w:rsidR="007B278A">
        <w:rPr>
          <w:rFonts w:cs="Arial"/>
          <w:sz w:val="21"/>
          <w:szCs w:val="21"/>
        </w:rPr>
        <w:t xml:space="preserve">west </w:t>
      </w:r>
      <w:r w:rsidR="009F03B0">
        <w:rPr>
          <w:rFonts w:cs="Arial"/>
          <w:sz w:val="21"/>
          <w:szCs w:val="21"/>
        </w:rPr>
        <w:t>extension</w:t>
      </w:r>
      <w:r w:rsidR="00A81A3E">
        <w:rPr>
          <w:rFonts w:cs="Arial"/>
          <w:sz w:val="21"/>
          <w:szCs w:val="21"/>
        </w:rPr>
        <w:t>.</w:t>
      </w:r>
      <w:r w:rsidR="009F03B0">
        <w:rPr>
          <w:rFonts w:cs="Arial"/>
          <w:sz w:val="21"/>
          <w:szCs w:val="21"/>
        </w:rPr>
        <w:t xml:space="preserve"> The</w:t>
      </w:r>
      <w:r w:rsidR="00DC6FBF">
        <w:rPr>
          <w:rFonts w:cs="Arial"/>
          <w:sz w:val="21"/>
          <w:szCs w:val="21"/>
        </w:rPr>
        <w:t xml:space="preserve"> bungalow i</w:t>
      </w:r>
      <w:r w:rsidR="009F03B0">
        <w:rPr>
          <w:rFonts w:cs="Arial"/>
          <w:sz w:val="21"/>
          <w:szCs w:val="21"/>
        </w:rPr>
        <w:t>s dominated by a</w:t>
      </w:r>
      <w:r w:rsidR="00806065" w:rsidRPr="00806065">
        <w:rPr>
          <w:rFonts w:cs="Arial"/>
          <w:sz w:val="21"/>
          <w:szCs w:val="21"/>
        </w:rPr>
        <w:t xml:space="preserve"> tal</w:t>
      </w:r>
      <w:r w:rsidR="00DC6FBF">
        <w:rPr>
          <w:rFonts w:cs="Arial"/>
          <w:sz w:val="21"/>
          <w:szCs w:val="21"/>
        </w:rPr>
        <w:t>l</w:t>
      </w:r>
      <w:r w:rsidR="00806065" w:rsidRPr="00806065">
        <w:rPr>
          <w:rFonts w:cs="Arial"/>
          <w:sz w:val="21"/>
          <w:szCs w:val="21"/>
        </w:rPr>
        <w:t xml:space="preserve"> hipped roof</w:t>
      </w:r>
      <w:r w:rsidR="00DC6FBF">
        <w:rPr>
          <w:rFonts w:cs="Arial"/>
          <w:sz w:val="21"/>
          <w:szCs w:val="21"/>
        </w:rPr>
        <w:t xml:space="preserve"> form</w:t>
      </w:r>
      <w:r w:rsidR="00074557">
        <w:rPr>
          <w:rFonts w:cs="Arial"/>
          <w:sz w:val="21"/>
          <w:szCs w:val="21"/>
        </w:rPr>
        <w:t xml:space="preserve"> (with later cladding)</w:t>
      </w:r>
      <w:r w:rsidR="009F03B0">
        <w:rPr>
          <w:rFonts w:cs="Arial"/>
          <w:sz w:val="21"/>
          <w:szCs w:val="21"/>
        </w:rPr>
        <w:t>. The north and south falls are each featured by a simple brick chimney, with a</w:t>
      </w:r>
      <w:r w:rsidR="00944B63">
        <w:rPr>
          <w:rFonts w:cs="Arial"/>
          <w:sz w:val="21"/>
          <w:szCs w:val="21"/>
        </w:rPr>
        <w:t xml:space="preserve"> gable</w:t>
      </w:r>
      <w:r w:rsidR="00DC6FBF">
        <w:rPr>
          <w:rFonts w:cs="Arial"/>
          <w:sz w:val="21"/>
          <w:szCs w:val="21"/>
        </w:rPr>
        <w:t>d</w:t>
      </w:r>
      <w:r w:rsidR="00944B63">
        <w:rPr>
          <w:rFonts w:cs="Arial"/>
          <w:sz w:val="21"/>
          <w:szCs w:val="21"/>
        </w:rPr>
        <w:t xml:space="preserve"> section projec</w:t>
      </w:r>
      <w:r w:rsidR="003F2500">
        <w:rPr>
          <w:rFonts w:cs="Arial"/>
          <w:sz w:val="21"/>
          <w:szCs w:val="21"/>
        </w:rPr>
        <w:t>ts</w:t>
      </w:r>
      <w:r w:rsidR="00944B63">
        <w:rPr>
          <w:rFonts w:cs="Arial"/>
          <w:sz w:val="21"/>
          <w:szCs w:val="21"/>
        </w:rPr>
        <w:t xml:space="preserve"> forward on its southwest elevation.</w:t>
      </w:r>
      <w:r w:rsidR="00944B63" w:rsidRPr="00944B63">
        <w:rPr>
          <w:rFonts w:cs="Arial"/>
          <w:sz w:val="21"/>
          <w:szCs w:val="21"/>
        </w:rPr>
        <w:t xml:space="preserve"> </w:t>
      </w:r>
      <w:r w:rsidR="00A81A3E">
        <w:rPr>
          <w:rFonts w:cs="Arial"/>
          <w:sz w:val="21"/>
          <w:szCs w:val="21"/>
        </w:rPr>
        <w:t xml:space="preserve">The bungalow features a wide </w:t>
      </w:r>
      <w:r w:rsidR="00074557">
        <w:rPr>
          <w:rFonts w:cs="Arial"/>
          <w:sz w:val="21"/>
          <w:szCs w:val="21"/>
        </w:rPr>
        <w:t>encircling</w:t>
      </w:r>
      <w:r w:rsidR="00A81A3E">
        <w:rPr>
          <w:rFonts w:cs="Arial"/>
          <w:sz w:val="21"/>
          <w:szCs w:val="21"/>
        </w:rPr>
        <w:t xml:space="preserve"> verandah with timber posts and fretworks</w:t>
      </w:r>
      <w:r w:rsidR="00EE0A72">
        <w:rPr>
          <w:rFonts w:cs="Arial"/>
          <w:sz w:val="21"/>
          <w:szCs w:val="21"/>
        </w:rPr>
        <w:t>. On the west elevation, the verandah shelters a pair of French windows on the southern section, and a prominent sash window with sidelights.</w:t>
      </w:r>
    </w:p>
    <w:p w14:paraId="544080D0" w14:textId="77777777" w:rsidR="00651A62" w:rsidRDefault="00651A62" w:rsidP="0053253F">
      <w:pPr>
        <w:rPr>
          <w:rFonts w:cs="Arial"/>
          <w:sz w:val="21"/>
          <w:szCs w:val="21"/>
        </w:rPr>
      </w:pPr>
    </w:p>
    <w:p w14:paraId="32215B89" w14:textId="364ACEB6" w:rsidR="00EE0A72" w:rsidRDefault="007B278A" w:rsidP="0053253F">
      <w:pPr>
        <w:rPr>
          <w:rFonts w:cs="Arial"/>
          <w:sz w:val="21"/>
          <w:szCs w:val="21"/>
        </w:rPr>
      </w:pPr>
      <w:r>
        <w:rPr>
          <w:rFonts w:cs="Arial"/>
          <w:sz w:val="21"/>
          <w:szCs w:val="21"/>
        </w:rPr>
        <w:t xml:space="preserve">A later swimming pool is located to the north of the bungalow. </w:t>
      </w:r>
    </w:p>
    <w:p w14:paraId="6EE8E9AA" w14:textId="20DA0F4D" w:rsidR="007B278A" w:rsidRDefault="007B278A" w:rsidP="0053253F">
      <w:pPr>
        <w:rPr>
          <w:rFonts w:cs="Arial"/>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074557" w14:paraId="45BB32D2" w14:textId="77777777" w:rsidTr="004E338F">
        <w:tc>
          <w:tcPr>
            <w:tcW w:w="8296" w:type="dxa"/>
          </w:tcPr>
          <w:p w14:paraId="4459D7DE" w14:textId="4C73A341" w:rsidR="00074557" w:rsidRDefault="004E338F" w:rsidP="0053253F">
            <w:pPr>
              <w:rPr>
                <w:rFonts w:cs="Arial"/>
                <w:sz w:val="21"/>
                <w:szCs w:val="21"/>
              </w:rPr>
            </w:pPr>
            <w:r>
              <w:rPr>
                <w:rFonts w:cs="Arial"/>
                <w:noProof/>
                <w:sz w:val="21"/>
                <w:szCs w:val="21"/>
                <w:lang w:eastAsia="en-AU"/>
              </w:rPr>
              <w:drawing>
                <wp:inline distT="0" distB="0" distL="0" distR="0" wp14:anchorId="67E7AB07" wp14:editId="6F73E70C">
                  <wp:extent cx="4992130" cy="2594919"/>
                  <wp:effectExtent l="0" t="0" r="0" b="0"/>
                  <wp:docPr id="9" name="Picture 9" descr="A fenced in yard with trees and a house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fenced in yard with trees and a house in the background&#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l="156" t="21448" r="5179" b="12947"/>
                          <a:stretch/>
                        </pic:blipFill>
                        <pic:spPr bwMode="auto">
                          <a:xfrm>
                            <a:off x="0" y="0"/>
                            <a:ext cx="4992929" cy="2595334"/>
                          </a:xfrm>
                          <a:prstGeom prst="rect">
                            <a:avLst/>
                          </a:prstGeom>
                          <a:ln>
                            <a:noFill/>
                          </a:ln>
                          <a:extLst>
                            <a:ext uri="{53640926-AAD7-44D8-BBD7-CCE9431645EC}">
                              <a14:shadowObscured xmlns:a14="http://schemas.microsoft.com/office/drawing/2010/main"/>
                            </a:ext>
                          </a:extLst>
                        </pic:spPr>
                      </pic:pic>
                    </a:graphicData>
                  </a:graphic>
                </wp:inline>
              </w:drawing>
            </w:r>
          </w:p>
        </w:tc>
      </w:tr>
      <w:tr w:rsidR="00074557" w14:paraId="4E0E28C0" w14:textId="77777777" w:rsidTr="004E338F">
        <w:tc>
          <w:tcPr>
            <w:tcW w:w="8296" w:type="dxa"/>
          </w:tcPr>
          <w:p w14:paraId="39996D98" w14:textId="4D54F800" w:rsidR="00074557" w:rsidRDefault="004E338F" w:rsidP="004E338F">
            <w:pPr>
              <w:pStyle w:val="Caption"/>
              <w:ind w:left="0"/>
            </w:pPr>
            <w:r>
              <w:t xml:space="preserve">Figure </w:t>
            </w:r>
            <w:fldSimple w:instr=" SEQ Figure \* ARABIC ">
              <w:r>
                <w:rPr>
                  <w:noProof/>
                </w:rPr>
                <w:t>2</w:t>
              </w:r>
            </w:fldSimple>
            <w:r>
              <w:rPr>
                <w:noProof/>
              </w:rPr>
              <w:t>:</w:t>
            </w:r>
            <w:r>
              <w:t xml:space="preserve">The front elevation of the built form. the projecting gabled section is located on central left and is partially concealed by a mature tree. Source: Trethowan Architecture, 2022. </w:t>
            </w:r>
          </w:p>
        </w:tc>
      </w:tr>
      <w:tr w:rsidR="005C0862" w14:paraId="222CBFE2" w14:textId="77777777" w:rsidTr="004E338F">
        <w:tc>
          <w:tcPr>
            <w:tcW w:w="8296" w:type="dxa"/>
          </w:tcPr>
          <w:p w14:paraId="5C6B79CE" w14:textId="66CF2506" w:rsidR="005C0862" w:rsidRDefault="005C0862" w:rsidP="0053253F">
            <w:pPr>
              <w:rPr>
                <w:rFonts w:cs="Arial"/>
                <w:sz w:val="21"/>
                <w:szCs w:val="21"/>
              </w:rPr>
            </w:pPr>
            <w:r>
              <w:rPr>
                <w:rFonts w:cs="Arial"/>
                <w:noProof/>
                <w:sz w:val="21"/>
                <w:szCs w:val="21"/>
                <w:lang w:eastAsia="en-AU"/>
              </w:rPr>
              <w:lastRenderedPageBreak/>
              <w:drawing>
                <wp:inline distT="0" distB="0" distL="0" distR="0" wp14:anchorId="33CC3FDB" wp14:editId="3DBA84E2">
                  <wp:extent cx="4852087" cy="2652127"/>
                  <wp:effectExtent l="0" t="0" r="5715" b="0"/>
                  <wp:docPr id="6" name="Picture 6" descr="A wooden fence in a wooded are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ooden fence in a wooded area&#10;&#10;Description automatically generated with low confidence"/>
                          <pic:cNvPicPr/>
                        </pic:nvPicPr>
                        <pic:blipFill rotWithShape="1">
                          <a:blip r:embed="rId14" cstate="print">
                            <a:extLst>
                              <a:ext uri="{28A0092B-C50C-407E-A947-70E740481C1C}">
                                <a14:useLocalDpi xmlns:a14="http://schemas.microsoft.com/office/drawing/2010/main" val="0"/>
                              </a:ext>
                            </a:extLst>
                          </a:blip>
                          <a:srcRect l="312" t="18116" r="12529" b="18368"/>
                          <a:stretch/>
                        </pic:blipFill>
                        <pic:spPr bwMode="auto">
                          <a:xfrm>
                            <a:off x="0" y="0"/>
                            <a:ext cx="4868871" cy="2661301"/>
                          </a:xfrm>
                          <a:prstGeom prst="rect">
                            <a:avLst/>
                          </a:prstGeom>
                          <a:ln>
                            <a:noFill/>
                          </a:ln>
                          <a:extLst>
                            <a:ext uri="{53640926-AAD7-44D8-BBD7-CCE9431645EC}">
                              <a14:shadowObscured xmlns:a14="http://schemas.microsoft.com/office/drawing/2010/main"/>
                            </a:ext>
                          </a:extLst>
                        </pic:spPr>
                      </pic:pic>
                    </a:graphicData>
                  </a:graphic>
                </wp:inline>
              </w:drawing>
            </w:r>
          </w:p>
        </w:tc>
      </w:tr>
      <w:tr w:rsidR="005C0862" w14:paraId="4BC2E940" w14:textId="77777777" w:rsidTr="004E338F">
        <w:tc>
          <w:tcPr>
            <w:tcW w:w="8296" w:type="dxa"/>
          </w:tcPr>
          <w:p w14:paraId="490B2623" w14:textId="33D0D2D9" w:rsidR="005C0862" w:rsidRDefault="004E338F" w:rsidP="004E338F">
            <w:pPr>
              <w:pStyle w:val="Caption"/>
              <w:ind w:left="0"/>
            </w:pPr>
            <w:r>
              <w:t xml:space="preserve">Figure </w:t>
            </w:r>
            <w:fldSimple w:instr=" SEQ Figure \* ARABIC ">
              <w:r>
                <w:rPr>
                  <w:noProof/>
                </w:rPr>
                <w:t>3</w:t>
              </w:r>
            </w:fldSimple>
            <w:r>
              <w:rPr>
                <w:noProof/>
              </w:rPr>
              <w:t xml:space="preserve">: </w:t>
            </w:r>
            <w:r>
              <w:t>The rear (north) elevation of the built form. Note the continuation of the verandah. Source: Trethowan Architecture, 2022.</w:t>
            </w:r>
          </w:p>
        </w:tc>
      </w:tr>
    </w:tbl>
    <w:p w14:paraId="6889D35D" w14:textId="77777777" w:rsidR="00074557" w:rsidRDefault="00074557" w:rsidP="0053253F">
      <w:pPr>
        <w:rPr>
          <w:rFonts w:cs="Arial"/>
          <w:sz w:val="21"/>
          <w:szCs w:val="21"/>
        </w:rPr>
      </w:pPr>
    </w:p>
    <w:p w14:paraId="2BDFE654" w14:textId="77777777" w:rsidR="00104F1F" w:rsidRDefault="00F0333B" w:rsidP="0CDCA4DB">
      <w:pPr>
        <w:rPr>
          <w:rFonts w:cs="Arial"/>
          <w:b/>
          <w:bCs/>
          <w:sz w:val="21"/>
          <w:szCs w:val="21"/>
        </w:rPr>
      </w:pPr>
      <w:r w:rsidRPr="0CDCA4DB">
        <w:rPr>
          <w:rFonts w:cs="Arial"/>
          <w:b/>
          <w:bCs/>
          <w:sz w:val="21"/>
          <w:szCs w:val="21"/>
        </w:rPr>
        <w:t>Comparative Analysis</w:t>
      </w:r>
    </w:p>
    <w:p w14:paraId="1A33BD4A" w14:textId="137B04CC" w:rsidR="0063627A" w:rsidRDefault="0063627A" w:rsidP="0053253F">
      <w:pPr>
        <w:rPr>
          <w:rFonts w:cs="Arial"/>
          <w:sz w:val="21"/>
          <w:szCs w:val="21"/>
        </w:rPr>
      </w:pPr>
    </w:p>
    <w:p w14:paraId="301E504A" w14:textId="5C8AB191" w:rsidR="009D04F3" w:rsidRPr="009D04F3" w:rsidRDefault="00F84A83" w:rsidP="009D04F3">
      <w:pPr>
        <w:rPr>
          <w:rFonts w:cs="Arial"/>
          <w:sz w:val="21"/>
          <w:szCs w:val="21"/>
        </w:rPr>
      </w:pPr>
      <w:r>
        <w:rPr>
          <w:rFonts w:cs="Arial"/>
          <w:sz w:val="21"/>
          <w:szCs w:val="21"/>
        </w:rPr>
        <w:t>The house is one of only a few</w:t>
      </w:r>
      <w:r w:rsidR="009D04F3" w:rsidRPr="009D04F3">
        <w:rPr>
          <w:rFonts w:cs="Arial"/>
          <w:sz w:val="21"/>
          <w:szCs w:val="21"/>
        </w:rPr>
        <w:t xml:space="preserve"> grand country residence</w:t>
      </w:r>
      <w:r>
        <w:rPr>
          <w:rFonts w:cs="Arial"/>
          <w:sz w:val="21"/>
          <w:szCs w:val="21"/>
        </w:rPr>
        <w:t>s</w:t>
      </w:r>
      <w:r w:rsidR="009D04F3" w:rsidRPr="009D04F3">
        <w:rPr>
          <w:rFonts w:cs="Arial"/>
          <w:sz w:val="21"/>
          <w:szCs w:val="21"/>
        </w:rPr>
        <w:t xml:space="preserve"> constructed in the Shire. Although built on an existing orchard, this was more of an </w:t>
      </w:r>
      <w:r w:rsidR="00D54BC5" w:rsidRPr="009D04F3">
        <w:rPr>
          <w:rFonts w:cs="Arial"/>
          <w:sz w:val="21"/>
          <w:szCs w:val="21"/>
        </w:rPr>
        <w:t>upper-class</w:t>
      </w:r>
      <w:r w:rsidR="009D04F3" w:rsidRPr="009D04F3">
        <w:rPr>
          <w:rFonts w:cs="Arial"/>
          <w:sz w:val="21"/>
          <w:szCs w:val="21"/>
        </w:rPr>
        <w:t xml:space="preserve"> country residence constructed specifically as a retirement home for a wealthy former merchant. The house was built 1920-22 for the </w:t>
      </w:r>
      <w:r w:rsidR="00E017C0" w:rsidRPr="009D04F3">
        <w:rPr>
          <w:rFonts w:cs="Arial"/>
          <w:sz w:val="21"/>
          <w:szCs w:val="21"/>
        </w:rPr>
        <w:t>Thomson’s</w:t>
      </w:r>
      <w:r w:rsidR="009D04F3" w:rsidRPr="009D04F3">
        <w:rPr>
          <w:rFonts w:cs="Arial"/>
          <w:sz w:val="21"/>
          <w:szCs w:val="21"/>
        </w:rPr>
        <w:t xml:space="preserve"> who were retiring from Mildura. The significance of this property relies on its intactness as a grand bungalow residence from the 1920s. This intactness can only be confirmed from a site inspection. The interest is as a substantial retirement house/hobby farm of a wealthy family.</w:t>
      </w:r>
    </w:p>
    <w:p w14:paraId="15FAE2D4" w14:textId="77777777" w:rsidR="009D04F3" w:rsidRPr="009D04F3" w:rsidRDefault="009D04F3" w:rsidP="009D04F3">
      <w:pPr>
        <w:rPr>
          <w:rFonts w:cs="Arial"/>
          <w:sz w:val="21"/>
          <w:szCs w:val="21"/>
        </w:rPr>
      </w:pPr>
    </w:p>
    <w:p w14:paraId="54DC9E7B" w14:textId="782F6270" w:rsidR="009D04F3" w:rsidRPr="009D04F3" w:rsidRDefault="009D04F3" w:rsidP="009D04F3">
      <w:pPr>
        <w:rPr>
          <w:rFonts w:cs="Arial"/>
          <w:sz w:val="21"/>
          <w:szCs w:val="21"/>
        </w:rPr>
      </w:pPr>
      <w:r w:rsidRPr="009D04F3">
        <w:rPr>
          <w:rFonts w:cs="Arial"/>
          <w:sz w:val="21"/>
          <w:szCs w:val="21"/>
        </w:rPr>
        <w:t>There are only a limited number of known examples of substantial country residences built for wealthy owners in the earlier period of the Shire (1880s – 1930s).</w:t>
      </w:r>
      <w:r w:rsidR="00C0335F">
        <w:rPr>
          <w:rFonts w:cs="Arial"/>
          <w:sz w:val="21"/>
          <w:szCs w:val="21"/>
        </w:rPr>
        <w:t xml:space="preserve"> </w:t>
      </w:r>
      <w:r w:rsidRPr="009D04F3">
        <w:rPr>
          <w:rFonts w:cs="Arial"/>
          <w:sz w:val="21"/>
          <w:szCs w:val="21"/>
        </w:rPr>
        <w:t xml:space="preserve"> </w:t>
      </w:r>
      <w:r w:rsidR="004D4F14">
        <w:rPr>
          <w:rFonts w:cs="Arial"/>
          <w:sz w:val="21"/>
          <w:szCs w:val="21"/>
        </w:rPr>
        <w:t xml:space="preserve">Compared to these, the subject property displays similar </w:t>
      </w:r>
      <w:r w:rsidR="00B5574D">
        <w:rPr>
          <w:rFonts w:cs="Arial"/>
          <w:sz w:val="21"/>
          <w:szCs w:val="21"/>
        </w:rPr>
        <w:t xml:space="preserve">dominant hipped roof forms, </w:t>
      </w:r>
      <w:r w:rsidR="00D16F72">
        <w:rPr>
          <w:rFonts w:cs="Arial"/>
          <w:sz w:val="21"/>
          <w:szCs w:val="21"/>
        </w:rPr>
        <w:t>deep verandahs and bay windows.</w:t>
      </w:r>
    </w:p>
    <w:p w14:paraId="2EB8A8C1" w14:textId="77777777" w:rsidR="009D04F3" w:rsidRPr="009D04F3" w:rsidRDefault="009D04F3" w:rsidP="009D04F3">
      <w:pPr>
        <w:rPr>
          <w:rFonts w:cs="Arial"/>
          <w:sz w:val="21"/>
          <w:szCs w:val="21"/>
        </w:rPr>
      </w:pPr>
    </w:p>
    <w:p w14:paraId="7D2EC64E" w14:textId="6532B639" w:rsidR="009D04F3" w:rsidRDefault="009D04F3" w:rsidP="009D04F3">
      <w:pPr>
        <w:rPr>
          <w:rFonts w:cs="Arial"/>
          <w:sz w:val="21"/>
          <w:szCs w:val="21"/>
        </w:rPr>
      </w:pPr>
      <w:r w:rsidRPr="009D04F3">
        <w:rPr>
          <w:rFonts w:cs="Arial"/>
          <w:sz w:val="21"/>
          <w:szCs w:val="21"/>
        </w:rPr>
        <w:t>Linton Grange, 55 Chapel Lane, Doreen (recommended for the HO) is historically a rare and unusual site in the Nillumbik Shire as it is the only known example of a ‘country seat’ property of a wealthy Melbourne family who lived between the city and country. It is also a rare example of a wealthy estate dating from the Victorian period and operating a successful cattle stud.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8625CD" w14:paraId="4EE3BF0A" w14:textId="77777777" w:rsidTr="00074557">
        <w:tc>
          <w:tcPr>
            <w:tcW w:w="8296" w:type="dxa"/>
          </w:tcPr>
          <w:p w14:paraId="127C8AC1" w14:textId="57BF076E" w:rsidR="008625CD" w:rsidRDefault="008625CD" w:rsidP="009D04F3">
            <w:pPr>
              <w:rPr>
                <w:rFonts w:cs="Arial"/>
                <w:sz w:val="21"/>
                <w:szCs w:val="21"/>
              </w:rPr>
            </w:pPr>
            <w:r>
              <w:rPr>
                <w:noProof/>
                <w:lang w:eastAsia="en-AU"/>
              </w:rPr>
              <w:lastRenderedPageBreak/>
              <w:drawing>
                <wp:inline distT="0" distB="0" distL="0" distR="0" wp14:anchorId="4D29C645" wp14:editId="467554D4">
                  <wp:extent cx="5016843" cy="32962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284" t="21096" r="24692" b="26314"/>
                          <a:stretch/>
                        </pic:blipFill>
                        <pic:spPr bwMode="auto">
                          <a:xfrm>
                            <a:off x="0" y="0"/>
                            <a:ext cx="5028902" cy="3304188"/>
                          </a:xfrm>
                          <a:prstGeom prst="rect">
                            <a:avLst/>
                          </a:prstGeom>
                          <a:ln>
                            <a:noFill/>
                          </a:ln>
                          <a:extLst>
                            <a:ext uri="{53640926-AAD7-44D8-BBD7-CCE9431645EC}">
                              <a14:shadowObscured xmlns:a14="http://schemas.microsoft.com/office/drawing/2010/main"/>
                            </a:ext>
                          </a:extLst>
                        </pic:spPr>
                      </pic:pic>
                    </a:graphicData>
                  </a:graphic>
                </wp:inline>
              </w:drawing>
            </w:r>
          </w:p>
        </w:tc>
      </w:tr>
      <w:tr w:rsidR="008625CD" w14:paraId="29E2F727" w14:textId="77777777" w:rsidTr="00074557">
        <w:tc>
          <w:tcPr>
            <w:tcW w:w="8296" w:type="dxa"/>
          </w:tcPr>
          <w:p w14:paraId="1224D3ED" w14:textId="6796A6A0" w:rsidR="008625CD" w:rsidRDefault="00BD7EDD" w:rsidP="004E338F">
            <w:pPr>
              <w:pStyle w:val="Caption"/>
              <w:ind w:left="0"/>
            </w:pPr>
            <w:r>
              <w:t xml:space="preserve">Figure </w:t>
            </w:r>
            <w:fldSimple w:instr=" SEQ Figure \* ARABIC ">
              <w:r w:rsidR="004E338F">
                <w:rPr>
                  <w:noProof/>
                </w:rPr>
                <w:t>4</w:t>
              </w:r>
            </w:fldSimple>
            <w:r>
              <w:rPr>
                <w:noProof/>
              </w:rPr>
              <w:t xml:space="preserve">: </w:t>
            </w:r>
            <w:r w:rsidR="008625CD">
              <w:t xml:space="preserve">Extract of an image (dated June 2016) shows the built form of 55 Linton Grange, Doreen. Source: </w:t>
            </w:r>
            <w:r>
              <w:t>domain.com.au</w:t>
            </w:r>
          </w:p>
        </w:tc>
      </w:tr>
    </w:tbl>
    <w:p w14:paraId="067AA882" w14:textId="77777777" w:rsidR="009D04F3" w:rsidRPr="009D04F3" w:rsidRDefault="009D04F3" w:rsidP="009D04F3">
      <w:pPr>
        <w:rPr>
          <w:rFonts w:cs="Arial"/>
          <w:sz w:val="21"/>
          <w:szCs w:val="21"/>
        </w:rPr>
      </w:pPr>
    </w:p>
    <w:p w14:paraId="25175ACE" w14:textId="7E38AB09" w:rsidR="006E17E9" w:rsidRDefault="009D04F3" w:rsidP="009D04F3">
      <w:pPr>
        <w:rPr>
          <w:rFonts w:cs="Arial"/>
          <w:sz w:val="21"/>
          <w:szCs w:val="21"/>
        </w:rPr>
      </w:pPr>
      <w:r w:rsidRPr="009D04F3">
        <w:rPr>
          <w:rFonts w:cs="Arial"/>
          <w:sz w:val="21"/>
          <w:szCs w:val="21"/>
        </w:rPr>
        <w:t>Villa Beraguardo, 32-36 Perversi Lane, Diamond Creek (recommended for the HO). Constructed in 1924, the property was initially used as a weekender up until 1929 and is an uncommon example of country residence constructed for a wealthy Melbourne family who were not dependent on living off the land.</w:t>
      </w:r>
    </w:p>
    <w:p w14:paraId="5F0670E7" w14:textId="77777777" w:rsidR="004E338F" w:rsidRDefault="004E338F" w:rsidP="009D04F3">
      <w:pPr>
        <w:rPr>
          <w:rFonts w:cs="Arial"/>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B82E35" w14:paraId="57702E3D" w14:textId="77777777" w:rsidTr="00074557">
        <w:tc>
          <w:tcPr>
            <w:tcW w:w="8296" w:type="dxa"/>
          </w:tcPr>
          <w:p w14:paraId="11CBEDD8" w14:textId="0BEF0866" w:rsidR="00B82E35" w:rsidRDefault="00B82E35" w:rsidP="009D04F3">
            <w:pPr>
              <w:rPr>
                <w:rFonts w:cs="Arial"/>
                <w:sz w:val="21"/>
                <w:szCs w:val="21"/>
              </w:rPr>
            </w:pPr>
            <w:r>
              <w:rPr>
                <w:noProof/>
                <w:lang w:eastAsia="en-AU"/>
              </w:rPr>
              <w:drawing>
                <wp:inline distT="0" distB="0" distL="0" distR="0" wp14:anchorId="2CA27850" wp14:editId="65B2364C">
                  <wp:extent cx="5076452" cy="3575221"/>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771" t="15933" r="24902" b="28481"/>
                          <a:stretch/>
                        </pic:blipFill>
                        <pic:spPr bwMode="auto">
                          <a:xfrm>
                            <a:off x="0" y="0"/>
                            <a:ext cx="5105006" cy="3595331"/>
                          </a:xfrm>
                          <a:prstGeom prst="rect">
                            <a:avLst/>
                          </a:prstGeom>
                          <a:ln>
                            <a:noFill/>
                          </a:ln>
                          <a:extLst>
                            <a:ext uri="{53640926-AAD7-44D8-BBD7-CCE9431645EC}">
                              <a14:shadowObscured xmlns:a14="http://schemas.microsoft.com/office/drawing/2010/main"/>
                            </a:ext>
                          </a:extLst>
                        </pic:spPr>
                      </pic:pic>
                    </a:graphicData>
                  </a:graphic>
                </wp:inline>
              </w:drawing>
            </w:r>
          </w:p>
        </w:tc>
      </w:tr>
      <w:tr w:rsidR="00B82E35" w14:paraId="05432213" w14:textId="77777777" w:rsidTr="00074557">
        <w:tc>
          <w:tcPr>
            <w:tcW w:w="8296" w:type="dxa"/>
          </w:tcPr>
          <w:p w14:paraId="05AAD1E6" w14:textId="29D729A1" w:rsidR="00B82E35" w:rsidRDefault="00B82E35" w:rsidP="004E338F">
            <w:pPr>
              <w:pStyle w:val="Caption"/>
              <w:ind w:left="0"/>
            </w:pPr>
            <w:r>
              <w:t xml:space="preserve">Figure </w:t>
            </w:r>
            <w:fldSimple w:instr=" SEQ Figure \* ARABIC ">
              <w:r w:rsidR="004E338F">
                <w:rPr>
                  <w:noProof/>
                </w:rPr>
                <w:t>5</w:t>
              </w:r>
            </w:fldSimple>
            <w:r>
              <w:rPr>
                <w:noProof/>
              </w:rPr>
              <w:t xml:space="preserve">: </w:t>
            </w:r>
            <w:r>
              <w:t xml:space="preserve">Image dating 2021 shows the front view of </w:t>
            </w:r>
            <w:r w:rsidRPr="009D04F3">
              <w:t>Villa Beraguardo</w:t>
            </w:r>
            <w:r>
              <w:t xml:space="preserve">. Source: domain.com.au </w:t>
            </w:r>
          </w:p>
        </w:tc>
      </w:tr>
    </w:tbl>
    <w:p w14:paraId="386E73E5" w14:textId="77777777" w:rsidR="004728F3" w:rsidRDefault="004728F3" w:rsidP="009D04F3">
      <w:pPr>
        <w:rPr>
          <w:rFonts w:cs="Arial"/>
          <w:sz w:val="21"/>
          <w:szCs w:val="21"/>
        </w:rPr>
      </w:pPr>
    </w:p>
    <w:p w14:paraId="6F2B887B" w14:textId="77777777" w:rsidR="005C0862" w:rsidRDefault="005C0862" w:rsidP="009D04F3">
      <w:pPr>
        <w:rPr>
          <w:rFonts w:cs="Arial"/>
          <w:sz w:val="21"/>
          <w:szCs w:val="21"/>
        </w:rPr>
      </w:pPr>
    </w:p>
    <w:p w14:paraId="4DF17408" w14:textId="77777777" w:rsidR="00F0333B" w:rsidRPr="00533CF2" w:rsidRDefault="00F0333B" w:rsidP="0053253F">
      <w:pPr>
        <w:rPr>
          <w:rFonts w:cs="Arial"/>
          <w:b/>
          <w:sz w:val="21"/>
          <w:szCs w:val="21"/>
        </w:rPr>
      </w:pPr>
      <w:r w:rsidRPr="00533CF2">
        <w:rPr>
          <w:rFonts w:cs="Arial"/>
          <w:b/>
          <w:sz w:val="21"/>
          <w:szCs w:val="21"/>
        </w:rPr>
        <w:t>Assessment Against Criteria</w:t>
      </w:r>
    </w:p>
    <w:p w14:paraId="42FD40EE" w14:textId="77777777" w:rsidR="001D6FC0" w:rsidRPr="00533CF2" w:rsidRDefault="001D6FC0" w:rsidP="0053253F">
      <w:pPr>
        <w:rPr>
          <w:rFonts w:cs="Arial"/>
          <w:sz w:val="21"/>
          <w:szCs w:val="21"/>
        </w:rPr>
      </w:pPr>
    </w:p>
    <w:p w14:paraId="08B0C521" w14:textId="77777777" w:rsidR="00F0333B" w:rsidRPr="00533CF2" w:rsidRDefault="00E82BC1" w:rsidP="0053253F">
      <w:pPr>
        <w:rPr>
          <w:rFonts w:cs="Arial"/>
          <w:sz w:val="21"/>
          <w:szCs w:val="21"/>
        </w:rPr>
      </w:pPr>
      <w:r w:rsidRPr="00533CF2">
        <w:rPr>
          <w:rFonts w:cs="Arial"/>
          <w:sz w:val="21"/>
          <w:szCs w:val="21"/>
        </w:rPr>
        <w:t>C</w:t>
      </w:r>
      <w:r w:rsidR="003511D4" w:rsidRPr="00533CF2">
        <w:rPr>
          <w:rFonts w:cs="Arial"/>
          <w:sz w:val="21"/>
          <w:szCs w:val="21"/>
        </w:rPr>
        <w:t xml:space="preserve">riteria </w:t>
      </w:r>
      <w:r w:rsidR="00890C5B" w:rsidRPr="00533CF2">
        <w:rPr>
          <w:rFonts w:cs="Arial"/>
          <w:sz w:val="21"/>
          <w:szCs w:val="21"/>
        </w:rPr>
        <w:t xml:space="preserve">referred to in </w:t>
      </w:r>
      <w:r w:rsidR="00890C5B" w:rsidRPr="00533CF2">
        <w:rPr>
          <w:rFonts w:cs="Arial"/>
          <w:i/>
          <w:sz w:val="21"/>
          <w:szCs w:val="21"/>
        </w:rPr>
        <w:t xml:space="preserve">Practice Note 1: Applying the Heritage Overlay, </w:t>
      </w:r>
      <w:r w:rsidR="00890C5B" w:rsidRPr="00533CF2">
        <w:rPr>
          <w:rFonts w:cs="Arial"/>
          <w:sz w:val="21"/>
          <w:szCs w:val="21"/>
        </w:rPr>
        <w:t>Department of Planning and Community Development</w:t>
      </w:r>
      <w:r w:rsidR="003F57F8" w:rsidRPr="00533CF2">
        <w:rPr>
          <w:rFonts w:cs="Arial"/>
          <w:i/>
          <w:sz w:val="21"/>
          <w:szCs w:val="21"/>
        </w:rPr>
        <w:t xml:space="preserve">, </w:t>
      </w:r>
      <w:r w:rsidR="00465000">
        <w:rPr>
          <w:rFonts w:cs="Arial"/>
          <w:sz w:val="21"/>
          <w:szCs w:val="21"/>
        </w:rPr>
        <w:t>revised July 2015</w:t>
      </w:r>
      <w:r w:rsidR="00DC40F3" w:rsidRPr="00533CF2">
        <w:rPr>
          <w:rFonts w:cs="Arial"/>
          <w:sz w:val="21"/>
          <w:szCs w:val="21"/>
        </w:rPr>
        <w:t>, m</w:t>
      </w:r>
      <w:r w:rsidR="00890C5B" w:rsidRPr="00533CF2">
        <w:rPr>
          <w:rFonts w:cs="Arial"/>
          <w:sz w:val="21"/>
          <w:szCs w:val="21"/>
        </w:rPr>
        <w:t>odified for the local context.</w:t>
      </w:r>
    </w:p>
    <w:p w14:paraId="00872E3A" w14:textId="77777777" w:rsidR="00890C5B" w:rsidRPr="00533CF2" w:rsidRDefault="00890C5B" w:rsidP="0053253F">
      <w:pPr>
        <w:rPr>
          <w:rFonts w:cs="Arial"/>
          <w:sz w:val="21"/>
          <w:szCs w:val="21"/>
        </w:rPr>
      </w:pPr>
    </w:p>
    <w:p w14:paraId="5D051320" w14:textId="77777777" w:rsidR="008E1C33" w:rsidRPr="00533CF2" w:rsidRDefault="008E1C33" w:rsidP="0053253F">
      <w:pPr>
        <w:rPr>
          <w:rFonts w:cs="Arial"/>
          <w:sz w:val="21"/>
          <w:szCs w:val="21"/>
        </w:rPr>
      </w:pPr>
    </w:p>
    <w:p w14:paraId="26BBAB56" w14:textId="4D80C818" w:rsidR="00A443BF" w:rsidRDefault="00A443BF" w:rsidP="3FC870CB">
      <w:pPr>
        <w:rPr>
          <w:rFonts w:cs="Arial"/>
          <w:i/>
          <w:iCs/>
          <w:sz w:val="21"/>
          <w:szCs w:val="21"/>
        </w:rPr>
      </w:pPr>
      <w:r w:rsidRPr="3FC870CB">
        <w:rPr>
          <w:rFonts w:cs="Arial"/>
          <w:i/>
          <w:iCs/>
          <w:sz w:val="21"/>
          <w:szCs w:val="21"/>
        </w:rPr>
        <w:t>CRITERION A: Importa</w:t>
      </w:r>
      <w:r w:rsidR="007A044E" w:rsidRPr="3FC870CB">
        <w:rPr>
          <w:rFonts w:cs="Arial"/>
          <w:i/>
          <w:iCs/>
          <w:sz w:val="21"/>
          <w:szCs w:val="21"/>
        </w:rPr>
        <w:t>nce to the course or pattern</w:t>
      </w:r>
      <w:r w:rsidRPr="3FC870CB">
        <w:rPr>
          <w:rFonts w:cs="Arial"/>
          <w:i/>
          <w:iCs/>
          <w:sz w:val="21"/>
          <w:szCs w:val="21"/>
        </w:rPr>
        <w:t xml:space="preserve"> of </w:t>
      </w:r>
      <w:r w:rsidR="541E0040" w:rsidRPr="3FC870CB">
        <w:rPr>
          <w:rFonts w:cs="Arial"/>
          <w:i/>
          <w:iCs/>
          <w:sz w:val="21"/>
          <w:szCs w:val="21"/>
        </w:rPr>
        <w:t xml:space="preserve">the Shire of </w:t>
      </w:r>
      <w:r w:rsidR="091DFB8C" w:rsidRPr="3FC870CB">
        <w:rPr>
          <w:rFonts w:cs="Arial"/>
          <w:i/>
          <w:iCs/>
          <w:sz w:val="21"/>
          <w:szCs w:val="21"/>
        </w:rPr>
        <w:t>Nillumbik</w:t>
      </w:r>
      <w:r w:rsidR="0A7C8E8E" w:rsidRPr="3FC870CB">
        <w:rPr>
          <w:rFonts w:cs="Arial"/>
          <w:i/>
          <w:iCs/>
          <w:sz w:val="21"/>
          <w:szCs w:val="21"/>
        </w:rPr>
        <w:t>’s</w:t>
      </w:r>
      <w:r w:rsidR="78CE3169" w:rsidRPr="3FC870CB">
        <w:rPr>
          <w:rFonts w:cs="Arial"/>
          <w:i/>
          <w:iCs/>
          <w:sz w:val="21"/>
          <w:szCs w:val="21"/>
        </w:rPr>
        <w:t xml:space="preserve"> </w:t>
      </w:r>
      <w:r w:rsidR="003F57F8" w:rsidRPr="3FC870CB">
        <w:rPr>
          <w:rFonts w:cs="Arial"/>
          <w:i/>
          <w:iCs/>
          <w:sz w:val="21"/>
          <w:szCs w:val="21"/>
        </w:rPr>
        <w:t xml:space="preserve">cultural </w:t>
      </w:r>
      <w:r w:rsidR="00FC7300" w:rsidRPr="3FC870CB">
        <w:rPr>
          <w:rFonts w:cs="Arial"/>
          <w:i/>
          <w:iCs/>
          <w:sz w:val="21"/>
          <w:szCs w:val="21"/>
        </w:rPr>
        <w:t xml:space="preserve">or natural </w:t>
      </w:r>
      <w:r w:rsidR="003F57F8" w:rsidRPr="3FC870CB">
        <w:rPr>
          <w:rFonts w:cs="Arial"/>
          <w:i/>
          <w:iCs/>
          <w:sz w:val="21"/>
          <w:szCs w:val="21"/>
        </w:rPr>
        <w:t>history (historical significance).</w:t>
      </w:r>
    </w:p>
    <w:p w14:paraId="08A8D916" w14:textId="77777777" w:rsidR="0030501C" w:rsidRDefault="0030501C" w:rsidP="0053253F">
      <w:pPr>
        <w:rPr>
          <w:rFonts w:cs="Arial"/>
          <w:sz w:val="21"/>
          <w:szCs w:val="21"/>
        </w:rPr>
      </w:pPr>
    </w:p>
    <w:p w14:paraId="2E8F4EBD" w14:textId="62BE0BC2" w:rsidR="00755CEE" w:rsidRDefault="004728F3" w:rsidP="00104F1F">
      <w:pPr>
        <w:rPr>
          <w:rFonts w:cs="Arial"/>
          <w:sz w:val="21"/>
          <w:szCs w:val="21"/>
        </w:rPr>
      </w:pPr>
      <w:r w:rsidRPr="004728F3">
        <w:rPr>
          <w:rFonts w:cs="Arial"/>
          <w:sz w:val="21"/>
          <w:szCs w:val="21"/>
        </w:rPr>
        <w:t>The property is of historical significance for the grand 1920s bungalow residence constructed as a comfortable retirement home. Rose and H.P Thomson purchased the property in 1920 and built the house as a retirement home. H.P was originally a merchant of Melbourne and by 1918 he was the chairman of the First Mildura Irrigation Trust. The property also has associations with the orcharding industry in the area. Maurice Fitzgibbon with his wife Constance, established substantial orchards on the property between 1911 and 1913.</w:t>
      </w:r>
    </w:p>
    <w:p w14:paraId="0BADC686" w14:textId="77777777" w:rsidR="004728F3" w:rsidRPr="00533CF2" w:rsidRDefault="004728F3" w:rsidP="00104F1F">
      <w:pPr>
        <w:rPr>
          <w:rFonts w:cs="Arial"/>
          <w:sz w:val="21"/>
          <w:szCs w:val="21"/>
        </w:rPr>
      </w:pPr>
    </w:p>
    <w:p w14:paraId="4ACC67E6" w14:textId="16B83C4E" w:rsidR="00A443BF" w:rsidRPr="00533CF2" w:rsidRDefault="00A443BF" w:rsidP="3FC870CB">
      <w:pPr>
        <w:rPr>
          <w:rFonts w:cs="Arial"/>
          <w:i/>
          <w:iCs/>
          <w:sz w:val="21"/>
          <w:szCs w:val="21"/>
        </w:rPr>
      </w:pPr>
      <w:r w:rsidRPr="3FC870CB">
        <w:rPr>
          <w:rFonts w:cs="Arial"/>
          <w:i/>
          <w:iCs/>
          <w:sz w:val="21"/>
          <w:szCs w:val="21"/>
        </w:rPr>
        <w:t>CRITERION B: Possession of uncommon, rare or endangered aspects of</w:t>
      </w:r>
      <w:r w:rsidR="00894C12" w:rsidRPr="3FC870CB">
        <w:rPr>
          <w:rFonts w:cs="Arial"/>
          <w:i/>
          <w:iCs/>
          <w:sz w:val="21"/>
          <w:szCs w:val="21"/>
        </w:rPr>
        <w:t xml:space="preserve"> the</w:t>
      </w:r>
      <w:r w:rsidRPr="3FC870CB">
        <w:rPr>
          <w:rFonts w:cs="Arial"/>
          <w:i/>
          <w:iCs/>
          <w:sz w:val="21"/>
          <w:szCs w:val="21"/>
        </w:rPr>
        <w:t xml:space="preserve"> </w:t>
      </w:r>
      <w:r w:rsidR="6795CD4D" w:rsidRPr="3FC870CB">
        <w:rPr>
          <w:rFonts w:cs="Arial"/>
          <w:i/>
          <w:iCs/>
          <w:sz w:val="21"/>
          <w:szCs w:val="21"/>
        </w:rPr>
        <w:t xml:space="preserve">Shire of Nillumbik’s </w:t>
      </w:r>
      <w:r w:rsidRPr="3FC870CB">
        <w:rPr>
          <w:rFonts w:cs="Arial"/>
          <w:i/>
          <w:iCs/>
          <w:sz w:val="21"/>
          <w:szCs w:val="21"/>
        </w:rPr>
        <w:t xml:space="preserve">cultural </w:t>
      </w:r>
      <w:r w:rsidR="00DC40F3" w:rsidRPr="3FC870CB">
        <w:rPr>
          <w:rFonts w:cs="Arial"/>
          <w:i/>
          <w:iCs/>
          <w:sz w:val="21"/>
          <w:szCs w:val="21"/>
        </w:rPr>
        <w:t xml:space="preserve">or natural </w:t>
      </w:r>
      <w:r w:rsidRPr="3FC870CB">
        <w:rPr>
          <w:rFonts w:cs="Arial"/>
          <w:i/>
          <w:iCs/>
          <w:sz w:val="21"/>
          <w:szCs w:val="21"/>
        </w:rPr>
        <w:t>history</w:t>
      </w:r>
      <w:r w:rsidR="003F57F8" w:rsidRPr="3FC870CB">
        <w:rPr>
          <w:rFonts w:cs="Arial"/>
          <w:i/>
          <w:iCs/>
          <w:sz w:val="21"/>
          <w:szCs w:val="21"/>
        </w:rPr>
        <w:t xml:space="preserve"> (rarity)</w:t>
      </w:r>
      <w:r w:rsidRPr="3FC870CB">
        <w:rPr>
          <w:rFonts w:cs="Arial"/>
          <w:i/>
          <w:iCs/>
          <w:sz w:val="21"/>
          <w:szCs w:val="21"/>
        </w:rPr>
        <w:t>.</w:t>
      </w:r>
    </w:p>
    <w:p w14:paraId="66B8D236" w14:textId="5A3BF612" w:rsidR="00F33ACB" w:rsidRDefault="00D16F72" w:rsidP="0053253F">
      <w:pPr>
        <w:rPr>
          <w:rFonts w:cs="Arial"/>
          <w:sz w:val="21"/>
          <w:szCs w:val="21"/>
        </w:rPr>
      </w:pPr>
      <w:r>
        <w:rPr>
          <w:rFonts w:cs="Arial"/>
          <w:sz w:val="21"/>
          <w:szCs w:val="21"/>
        </w:rPr>
        <w:t>N/A</w:t>
      </w:r>
    </w:p>
    <w:p w14:paraId="5BCBE06C" w14:textId="77777777" w:rsidR="00C0335F" w:rsidRPr="00533CF2" w:rsidRDefault="00C0335F" w:rsidP="0053253F">
      <w:pPr>
        <w:rPr>
          <w:rFonts w:cs="Arial"/>
          <w:i/>
          <w:sz w:val="21"/>
          <w:szCs w:val="21"/>
        </w:rPr>
      </w:pPr>
    </w:p>
    <w:p w14:paraId="58C1B147" w14:textId="5446C079" w:rsidR="00A443BF" w:rsidRPr="00533CF2" w:rsidRDefault="00A443BF" w:rsidP="3FC870CB">
      <w:pPr>
        <w:rPr>
          <w:rFonts w:cs="Arial"/>
          <w:i/>
          <w:iCs/>
          <w:sz w:val="21"/>
          <w:szCs w:val="21"/>
        </w:rPr>
      </w:pPr>
      <w:r w:rsidRPr="3FC870CB">
        <w:rPr>
          <w:rFonts w:cs="Arial"/>
          <w:i/>
          <w:iCs/>
          <w:sz w:val="21"/>
          <w:szCs w:val="21"/>
        </w:rPr>
        <w:t xml:space="preserve">CRITERION C: Potential to yield information that will contribute to an understanding of </w:t>
      </w:r>
      <w:r w:rsidR="00894C12" w:rsidRPr="3FC870CB">
        <w:rPr>
          <w:rFonts w:cs="Arial"/>
          <w:i/>
          <w:iCs/>
          <w:sz w:val="21"/>
          <w:szCs w:val="21"/>
        </w:rPr>
        <w:t xml:space="preserve">the </w:t>
      </w:r>
      <w:r w:rsidR="0EDDFB89" w:rsidRPr="3FC870CB">
        <w:rPr>
          <w:rFonts w:cs="Arial"/>
          <w:i/>
          <w:iCs/>
          <w:sz w:val="21"/>
          <w:szCs w:val="21"/>
        </w:rPr>
        <w:t xml:space="preserve">Shire of Nillumbik’s </w:t>
      </w:r>
      <w:r w:rsidRPr="3FC870CB">
        <w:rPr>
          <w:rFonts w:cs="Arial"/>
          <w:i/>
          <w:iCs/>
          <w:sz w:val="21"/>
          <w:szCs w:val="21"/>
        </w:rPr>
        <w:t>cultural</w:t>
      </w:r>
      <w:r w:rsidR="00FC7300" w:rsidRPr="3FC870CB">
        <w:rPr>
          <w:rFonts w:cs="Arial"/>
          <w:i/>
          <w:iCs/>
          <w:sz w:val="21"/>
          <w:szCs w:val="21"/>
        </w:rPr>
        <w:t xml:space="preserve"> or natural</w:t>
      </w:r>
      <w:r w:rsidRPr="3FC870CB">
        <w:rPr>
          <w:rFonts w:cs="Arial"/>
          <w:i/>
          <w:iCs/>
          <w:sz w:val="21"/>
          <w:szCs w:val="21"/>
        </w:rPr>
        <w:t xml:space="preserve"> history</w:t>
      </w:r>
      <w:r w:rsidR="003F57F8" w:rsidRPr="3FC870CB">
        <w:rPr>
          <w:rFonts w:cs="Arial"/>
          <w:i/>
          <w:iCs/>
          <w:sz w:val="21"/>
          <w:szCs w:val="21"/>
        </w:rPr>
        <w:t xml:space="preserve"> (research potential)</w:t>
      </w:r>
      <w:r w:rsidRPr="3FC870CB">
        <w:rPr>
          <w:rFonts w:cs="Arial"/>
          <w:i/>
          <w:iCs/>
          <w:sz w:val="21"/>
          <w:szCs w:val="21"/>
        </w:rPr>
        <w:t>.</w:t>
      </w:r>
    </w:p>
    <w:p w14:paraId="19BADD97" w14:textId="74F3EC8F" w:rsidR="00A443BF" w:rsidRPr="00533CF2" w:rsidRDefault="00D16F72" w:rsidP="0053253F">
      <w:pPr>
        <w:rPr>
          <w:rFonts w:cs="Arial"/>
          <w:sz w:val="21"/>
          <w:szCs w:val="21"/>
        </w:rPr>
      </w:pPr>
      <w:r>
        <w:rPr>
          <w:rFonts w:cs="Arial"/>
          <w:sz w:val="21"/>
          <w:szCs w:val="21"/>
        </w:rPr>
        <w:t>N/A</w:t>
      </w:r>
    </w:p>
    <w:p w14:paraId="458BE668" w14:textId="77777777" w:rsidR="003F57F8" w:rsidRPr="00533CF2" w:rsidRDefault="003F57F8" w:rsidP="0053253F">
      <w:pPr>
        <w:rPr>
          <w:rFonts w:cs="Arial"/>
          <w:i/>
          <w:sz w:val="21"/>
          <w:szCs w:val="21"/>
        </w:rPr>
      </w:pPr>
    </w:p>
    <w:p w14:paraId="23130411" w14:textId="77777777" w:rsidR="00A443BF" w:rsidRPr="00D16F72" w:rsidRDefault="00A443BF" w:rsidP="0053253F">
      <w:pPr>
        <w:rPr>
          <w:rFonts w:cs="Arial"/>
          <w:i/>
          <w:sz w:val="21"/>
          <w:szCs w:val="21"/>
        </w:rPr>
      </w:pPr>
      <w:r w:rsidRPr="00533CF2">
        <w:rPr>
          <w:rFonts w:cs="Arial"/>
          <w:i/>
          <w:sz w:val="21"/>
          <w:szCs w:val="21"/>
        </w:rPr>
        <w:t xml:space="preserve">CRITERION D: Importance in demonstrating the principal characteristics of a class of </w:t>
      </w:r>
      <w:r w:rsidRPr="00D16F72">
        <w:rPr>
          <w:rFonts w:cs="Arial"/>
          <w:i/>
          <w:sz w:val="21"/>
          <w:szCs w:val="21"/>
        </w:rPr>
        <w:t xml:space="preserve">cultural </w:t>
      </w:r>
      <w:r w:rsidR="00FC7300" w:rsidRPr="00D16F72">
        <w:rPr>
          <w:rFonts w:cs="Arial"/>
          <w:i/>
          <w:sz w:val="21"/>
          <w:szCs w:val="21"/>
        </w:rPr>
        <w:t xml:space="preserve">or natural </w:t>
      </w:r>
      <w:r w:rsidRPr="00D16F72">
        <w:rPr>
          <w:rFonts w:cs="Arial"/>
          <w:i/>
          <w:sz w:val="21"/>
          <w:szCs w:val="21"/>
        </w:rPr>
        <w:t xml:space="preserve">places </w:t>
      </w:r>
      <w:r w:rsidR="00FC7300" w:rsidRPr="00D16F72">
        <w:rPr>
          <w:rFonts w:cs="Arial"/>
          <w:i/>
          <w:sz w:val="21"/>
          <w:szCs w:val="21"/>
        </w:rPr>
        <w:t>or</w:t>
      </w:r>
      <w:r w:rsidRPr="00D16F72">
        <w:rPr>
          <w:rFonts w:cs="Arial"/>
          <w:i/>
          <w:sz w:val="21"/>
          <w:szCs w:val="21"/>
        </w:rPr>
        <w:t xml:space="preserve"> </w:t>
      </w:r>
      <w:r w:rsidR="00FC7300" w:rsidRPr="00D16F72">
        <w:rPr>
          <w:rFonts w:cs="Arial"/>
          <w:i/>
          <w:sz w:val="21"/>
          <w:szCs w:val="21"/>
        </w:rPr>
        <w:t>environments</w:t>
      </w:r>
      <w:r w:rsidR="003F57F8" w:rsidRPr="00D16F72">
        <w:rPr>
          <w:rFonts w:cs="Arial"/>
          <w:i/>
          <w:sz w:val="21"/>
          <w:szCs w:val="21"/>
        </w:rPr>
        <w:t xml:space="preserve"> (representativeness)</w:t>
      </w:r>
      <w:r w:rsidRPr="00D16F72">
        <w:rPr>
          <w:rFonts w:cs="Arial"/>
          <w:i/>
          <w:sz w:val="21"/>
          <w:szCs w:val="21"/>
        </w:rPr>
        <w:t>.</w:t>
      </w:r>
    </w:p>
    <w:p w14:paraId="2B8FC350" w14:textId="275E89D9" w:rsidR="0030501C" w:rsidRDefault="00D16F72" w:rsidP="0053253F">
      <w:pPr>
        <w:rPr>
          <w:rFonts w:cs="Arial"/>
          <w:sz w:val="21"/>
          <w:szCs w:val="21"/>
          <w:highlight w:val="yellow"/>
        </w:rPr>
      </w:pPr>
      <w:r w:rsidRPr="00D16F72">
        <w:rPr>
          <w:rFonts w:cs="Arial"/>
          <w:sz w:val="21"/>
          <w:szCs w:val="21"/>
        </w:rPr>
        <w:t>N/A</w:t>
      </w:r>
    </w:p>
    <w:p w14:paraId="75605924" w14:textId="77777777" w:rsidR="00B17B59" w:rsidRPr="00B17B59" w:rsidRDefault="00B17B59" w:rsidP="0053253F">
      <w:pPr>
        <w:rPr>
          <w:rFonts w:cs="Arial"/>
          <w:sz w:val="21"/>
          <w:szCs w:val="21"/>
        </w:rPr>
      </w:pPr>
    </w:p>
    <w:p w14:paraId="0C48B03E" w14:textId="77777777" w:rsidR="00A443BF" w:rsidRPr="00533CF2" w:rsidRDefault="00A443BF" w:rsidP="0053253F">
      <w:pPr>
        <w:rPr>
          <w:rFonts w:cs="Arial"/>
          <w:i/>
          <w:sz w:val="21"/>
          <w:szCs w:val="21"/>
        </w:rPr>
      </w:pPr>
      <w:r w:rsidRPr="00692627">
        <w:rPr>
          <w:rFonts w:cs="Arial"/>
          <w:i/>
          <w:sz w:val="21"/>
          <w:szCs w:val="21"/>
        </w:rPr>
        <w:t>CRITERION E: Importance in exhibiting particular aesthetic characteristics</w:t>
      </w:r>
      <w:r w:rsidR="003F57F8" w:rsidRPr="00692627">
        <w:rPr>
          <w:rFonts w:cs="Arial"/>
          <w:i/>
          <w:sz w:val="21"/>
          <w:szCs w:val="21"/>
        </w:rPr>
        <w:t xml:space="preserve"> (aesthetic significance)</w:t>
      </w:r>
      <w:r w:rsidRPr="00692627">
        <w:rPr>
          <w:rFonts w:cs="Arial"/>
          <w:i/>
          <w:sz w:val="21"/>
          <w:szCs w:val="21"/>
        </w:rPr>
        <w:t>.</w:t>
      </w:r>
    </w:p>
    <w:p w14:paraId="02CD8DBB" w14:textId="77777777" w:rsidR="00A443BF" w:rsidRDefault="00A443BF" w:rsidP="0053253F">
      <w:pPr>
        <w:rPr>
          <w:rFonts w:cs="Arial"/>
          <w:sz w:val="21"/>
          <w:szCs w:val="21"/>
        </w:rPr>
      </w:pPr>
    </w:p>
    <w:p w14:paraId="513F2799" w14:textId="724CB6D6" w:rsidR="00624FFF" w:rsidRPr="00533CF2" w:rsidRDefault="00624FFF" w:rsidP="0053253F">
      <w:pPr>
        <w:rPr>
          <w:rFonts w:cs="Arial"/>
          <w:sz w:val="21"/>
          <w:szCs w:val="21"/>
        </w:rPr>
      </w:pPr>
      <w:r w:rsidRPr="00624FFF">
        <w:rPr>
          <w:rFonts w:cs="Arial"/>
          <w:sz w:val="21"/>
          <w:szCs w:val="21"/>
        </w:rPr>
        <w:t>The house on the property is of aesthetic significance as an elegant 1920s weatherboard bungalow with dominant main hipped roof and surrounding deep verandah with delicate arched fretwork valence and bay windows.</w:t>
      </w:r>
    </w:p>
    <w:p w14:paraId="22C2F03D" w14:textId="77777777" w:rsidR="00104F1F" w:rsidRPr="00533CF2" w:rsidRDefault="00104F1F" w:rsidP="0053253F">
      <w:pPr>
        <w:rPr>
          <w:rFonts w:cs="Arial"/>
          <w:i/>
          <w:sz w:val="21"/>
          <w:szCs w:val="21"/>
        </w:rPr>
      </w:pPr>
    </w:p>
    <w:p w14:paraId="2B871B92" w14:textId="77777777" w:rsidR="00A443BF" w:rsidRPr="00533CF2" w:rsidRDefault="00A443BF" w:rsidP="0053253F">
      <w:pPr>
        <w:rPr>
          <w:rFonts w:cs="Arial"/>
          <w:i/>
          <w:sz w:val="21"/>
          <w:szCs w:val="21"/>
        </w:rPr>
      </w:pPr>
      <w:r w:rsidRPr="00533CF2">
        <w:rPr>
          <w:rFonts w:cs="Arial"/>
          <w:i/>
          <w:sz w:val="21"/>
          <w:szCs w:val="21"/>
        </w:rPr>
        <w:t>CRITERION F: Importance in demonstrating a high degree of creative or technical achievement at a particular period</w:t>
      </w:r>
      <w:r w:rsidR="003F57F8" w:rsidRPr="00533CF2">
        <w:rPr>
          <w:rFonts w:cs="Arial"/>
          <w:i/>
          <w:sz w:val="21"/>
          <w:szCs w:val="21"/>
        </w:rPr>
        <w:t xml:space="preserve"> (technical significance)</w:t>
      </w:r>
      <w:r w:rsidRPr="00533CF2">
        <w:rPr>
          <w:rFonts w:cs="Arial"/>
          <w:i/>
          <w:sz w:val="21"/>
          <w:szCs w:val="21"/>
        </w:rPr>
        <w:t>.</w:t>
      </w:r>
    </w:p>
    <w:p w14:paraId="79397E7C" w14:textId="7A47ADEF" w:rsidR="00A443BF" w:rsidRPr="00533CF2" w:rsidRDefault="00D16F72" w:rsidP="0053253F">
      <w:pPr>
        <w:rPr>
          <w:rFonts w:cs="Arial"/>
          <w:sz w:val="21"/>
          <w:szCs w:val="21"/>
        </w:rPr>
      </w:pPr>
      <w:r>
        <w:rPr>
          <w:rFonts w:cs="Arial"/>
          <w:sz w:val="21"/>
          <w:szCs w:val="21"/>
        </w:rPr>
        <w:t>N/A</w:t>
      </w:r>
    </w:p>
    <w:p w14:paraId="48DD0C4E" w14:textId="77777777" w:rsidR="003F57F8" w:rsidRPr="00533CF2" w:rsidRDefault="003F57F8" w:rsidP="0053253F">
      <w:pPr>
        <w:rPr>
          <w:rFonts w:cs="Arial"/>
          <w:i/>
          <w:sz w:val="21"/>
          <w:szCs w:val="21"/>
        </w:rPr>
      </w:pPr>
    </w:p>
    <w:p w14:paraId="632DD5EA" w14:textId="77777777" w:rsidR="00A443BF" w:rsidRPr="00533CF2" w:rsidRDefault="00A443BF" w:rsidP="0053253F">
      <w:pPr>
        <w:rPr>
          <w:rFonts w:cs="Arial"/>
          <w:i/>
          <w:sz w:val="21"/>
          <w:szCs w:val="21"/>
        </w:rPr>
      </w:pPr>
      <w:r w:rsidRPr="00533CF2">
        <w:rPr>
          <w:rFonts w:cs="Arial"/>
          <w:i/>
          <w:sz w:val="21"/>
          <w:szCs w:val="21"/>
        </w:rPr>
        <w:t>CRITERION G: Strong or special association with a particular community or cultural group for social, cultural or spiritual reasons. This includes the significance of a place to Indigenous peoples as part of their continuing and developing cultural traditions</w:t>
      </w:r>
      <w:r w:rsidR="003F57F8" w:rsidRPr="00533CF2">
        <w:rPr>
          <w:rFonts w:cs="Arial"/>
          <w:i/>
          <w:sz w:val="21"/>
          <w:szCs w:val="21"/>
        </w:rPr>
        <w:t xml:space="preserve"> (social significance)</w:t>
      </w:r>
      <w:r w:rsidRPr="00533CF2">
        <w:rPr>
          <w:rFonts w:cs="Arial"/>
          <w:i/>
          <w:sz w:val="21"/>
          <w:szCs w:val="21"/>
        </w:rPr>
        <w:t>.</w:t>
      </w:r>
    </w:p>
    <w:p w14:paraId="294CE67B" w14:textId="1597A937" w:rsidR="00437685" w:rsidRPr="00D16F72" w:rsidRDefault="00D16F72" w:rsidP="0053253F">
      <w:pPr>
        <w:rPr>
          <w:rFonts w:cs="Arial"/>
          <w:iCs/>
          <w:sz w:val="21"/>
          <w:szCs w:val="21"/>
        </w:rPr>
      </w:pPr>
      <w:r>
        <w:rPr>
          <w:rFonts w:cs="Arial"/>
          <w:iCs/>
          <w:sz w:val="21"/>
          <w:szCs w:val="21"/>
        </w:rPr>
        <w:t>N/A</w:t>
      </w:r>
    </w:p>
    <w:p w14:paraId="2C67C688" w14:textId="77777777" w:rsidR="006E17E9" w:rsidRPr="00533CF2" w:rsidRDefault="006E17E9" w:rsidP="0053253F">
      <w:pPr>
        <w:rPr>
          <w:rFonts w:cs="Arial"/>
          <w:i/>
          <w:sz w:val="21"/>
          <w:szCs w:val="21"/>
        </w:rPr>
      </w:pPr>
    </w:p>
    <w:p w14:paraId="0632C55E" w14:textId="71BBDAD8" w:rsidR="00A443BF" w:rsidRDefault="00A443BF" w:rsidP="3FC870CB">
      <w:pPr>
        <w:rPr>
          <w:rFonts w:cs="Arial"/>
          <w:i/>
          <w:iCs/>
          <w:sz w:val="21"/>
          <w:szCs w:val="21"/>
        </w:rPr>
      </w:pPr>
      <w:r w:rsidRPr="3FC870CB">
        <w:rPr>
          <w:rFonts w:cs="Arial"/>
          <w:i/>
          <w:iCs/>
          <w:sz w:val="21"/>
          <w:szCs w:val="21"/>
        </w:rPr>
        <w:t xml:space="preserve">CRITERION H: Special association with the life or works of a person, or group of persons, of importance </w:t>
      </w:r>
      <w:r w:rsidR="00FC7300" w:rsidRPr="3FC870CB">
        <w:rPr>
          <w:rFonts w:cs="Arial"/>
          <w:i/>
          <w:iCs/>
          <w:sz w:val="21"/>
          <w:szCs w:val="21"/>
        </w:rPr>
        <w:t xml:space="preserve">in the </w:t>
      </w:r>
      <w:r w:rsidR="220D4FF4" w:rsidRPr="3FC870CB">
        <w:rPr>
          <w:rFonts w:cs="Arial"/>
          <w:i/>
          <w:iCs/>
          <w:sz w:val="21"/>
          <w:szCs w:val="21"/>
        </w:rPr>
        <w:t>Shire of Nillumbik’s</w:t>
      </w:r>
      <w:r w:rsidR="00FC7300" w:rsidRPr="3FC870CB">
        <w:rPr>
          <w:rFonts w:cs="Arial"/>
          <w:i/>
          <w:iCs/>
          <w:sz w:val="21"/>
          <w:szCs w:val="21"/>
        </w:rPr>
        <w:t xml:space="preserve"> history</w:t>
      </w:r>
      <w:r w:rsidR="003F57F8" w:rsidRPr="3FC870CB">
        <w:rPr>
          <w:rFonts w:cs="Arial"/>
          <w:i/>
          <w:iCs/>
          <w:sz w:val="21"/>
          <w:szCs w:val="21"/>
        </w:rPr>
        <w:t xml:space="preserve"> (associative significance)</w:t>
      </w:r>
      <w:r w:rsidRPr="3FC870CB">
        <w:rPr>
          <w:rFonts w:cs="Arial"/>
          <w:i/>
          <w:iCs/>
          <w:sz w:val="21"/>
          <w:szCs w:val="21"/>
        </w:rPr>
        <w:t>.</w:t>
      </w:r>
    </w:p>
    <w:p w14:paraId="7EE1D690" w14:textId="29F90545" w:rsidR="006E17E9" w:rsidRDefault="00D16F72" w:rsidP="0053253F">
      <w:pPr>
        <w:rPr>
          <w:rFonts w:cs="Arial"/>
          <w:sz w:val="21"/>
          <w:szCs w:val="21"/>
        </w:rPr>
      </w:pPr>
      <w:r>
        <w:rPr>
          <w:rFonts w:cs="Arial"/>
          <w:sz w:val="21"/>
          <w:szCs w:val="21"/>
        </w:rPr>
        <w:t>N/A</w:t>
      </w:r>
    </w:p>
    <w:p w14:paraId="66B73E4A" w14:textId="1DC1AB17" w:rsidR="006E17E9" w:rsidRDefault="006E17E9" w:rsidP="0053253F">
      <w:pPr>
        <w:rPr>
          <w:rFonts w:cs="Arial"/>
          <w:b/>
          <w:sz w:val="21"/>
          <w:szCs w:val="21"/>
        </w:rPr>
      </w:pPr>
    </w:p>
    <w:p w14:paraId="7B988D3E" w14:textId="77777777" w:rsidR="00C0335F" w:rsidRDefault="00C0335F" w:rsidP="0053253F">
      <w:pPr>
        <w:rPr>
          <w:rFonts w:cs="Arial"/>
          <w:b/>
          <w:sz w:val="21"/>
          <w:szCs w:val="21"/>
        </w:rPr>
      </w:pPr>
    </w:p>
    <w:p w14:paraId="1F6DC4B3" w14:textId="77777777" w:rsidR="00C0335F" w:rsidRDefault="00C0335F" w:rsidP="0053253F">
      <w:pPr>
        <w:rPr>
          <w:rFonts w:cs="Arial"/>
          <w:b/>
          <w:sz w:val="21"/>
          <w:szCs w:val="21"/>
        </w:rPr>
      </w:pPr>
    </w:p>
    <w:p w14:paraId="4A314DCD" w14:textId="77777777" w:rsidR="00C0335F" w:rsidRDefault="00C0335F" w:rsidP="0053253F">
      <w:pPr>
        <w:rPr>
          <w:rFonts w:cs="Arial"/>
          <w:b/>
          <w:sz w:val="21"/>
          <w:szCs w:val="21"/>
        </w:rPr>
      </w:pPr>
    </w:p>
    <w:p w14:paraId="0B91A8F4" w14:textId="77777777" w:rsidR="00C0335F" w:rsidRDefault="00C0335F" w:rsidP="0053253F">
      <w:pPr>
        <w:rPr>
          <w:rFonts w:cs="Arial"/>
          <w:b/>
          <w:sz w:val="21"/>
          <w:szCs w:val="21"/>
        </w:rPr>
      </w:pPr>
    </w:p>
    <w:p w14:paraId="29CD5F82" w14:textId="77777777" w:rsidR="00DC46A4" w:rsidRDefault="00DC46A4" w:rsidP="0053253F">
      <w:pPr>
        <w:rPr>
          <w:rFonts w:cs="Arial"/>
          <w:b/>
          <w:sz w:val="21"/>
          <w:szCs w:val="21"/>
        </w:rPr>
      </w:pPr>
    </w:p>
    <w:p w14:paraId="3C813A76" w14:textId="77777777" w:rsidR="00F0333B" w:rsidRPr="00533CF2" w:rsidRDefault="00F0333B" w:rsidP="0053253F">
      <w:pPr>
        <w:rPr>
          <w:rFonts w:cs="Arial"/>
          <w:b/>
          <w:sz w:val="21"/>
          <w:szCs w:val="21"/>
        </w:rPr>
      </w:pPr>
      <w:r w:rsidRPr="00533CF2">
        <w:rPr>
          <w:rFonts w:cs="Arial"/>
          <w:b/>
          <w:sz w:val="21"/>
          <w:szCs w:val="21"/>
        </w:rPr>
        <w:lastRenderedPageBreak/>
        <w:t xml:space="preserve">Grading </w:t>
      </w:r>
      <w:r w:rsidR="001517D4" w:rsidRPr="00533CF2">
        <w:rPr>
          <w:rFonts w:cs="Arial"/>
          <w:b/>
          <w:sz w:val="21"/>
          <w:szCs w:val="21"/>
        </w:rPr>
        <w:t xml:space="preserve">and </w:t>
      </w:r>
      <w:r w:rsidRPr="00533CF2">
        <w:rPr>
          <w:rFonts w:cs="Arial"/>
          <w:b/>
          <w:sz w:val="21"/>
          <w:szCs w:val="21"/>
        </w:rPr>
        <w:t>Recommendations</w:t>
      </w:r>
    </w:p>
    <w:p w14:paraId="44AC8773" w14:textId="77777777" w:rsidR="004E6328" w:rsidRPr="00533CF2" w:rsidRDefault="004E6328" w:rsidP="0053253F">
      <w:pPr>
        <w:rPr>
          <w:rFonts w:cs="Arial"/>
          <w:sz w:val="21"/>
          <w:szCs w:val="21"/>
        </w:rPr>
      </w:pPr>
    </w:p>
    <w:p w14:paraId="441E4DE5" w14:textId="77777777" w:rsidR="00E241E5" w:rsidRDefault="006E17E9" w:rsidP="3FC870CB">
      <w:pPr>
        <w:rPr>
          <w:rFonts w:cs="Arial"/>
          <w:sz w:val="21"/>
          <w:szCs w:val="21"/>
        </w:rPr>
      </w:pPr>
      <w:r w:rsidRPr="3FC870CB">
        <w:rPr>
          <w:rFonts w:cs="Arial"/>
          <w:sz w:val="21"/>
          <w:szCs w:val="21"/>
        </w:rPr>
        <w:t>Recommended</w:t>
      </w:r>
      <w:r w:rsidR="00831F05" w:rsidRPr="3FC870CB">
        <w:rPr>
          <w:rFonts w:cs="Arial"/>
          <w:sz w:val="21"/>
          <w:szCs w:val="21"/>
        </w:rPr>
        <w:t xml:space="preserve"> for inclusion in the schedule to the Heritage Overlay of the </w:t>
      </w:r>
      <w:r w:rsidR="07C658F1" w:rsidRPr="3FC870CB">
        <w:rPr>
          <w:rFonts w:cs="Arial"/>
          <w:sz w:val="21"/>
          <w:szCs w:val="21"/>
        </w:rPr>
        <w:t>Nil</w:t>
      </w:r>
      <w:r w:rsidR="00C95C44">
        <w:rPr>
          <w:rFonts w:cs="Arial"/>
          <w:sz w:val="21"/>
          <w:szCs w:val="21"/>
        </w:rPr>
        <w:t>l</w:t>
      </w:r>
      <w:r w:rsidR="07C658F1" w:rsidRPr="3FC870CB">
        <w:rPr>
          <w:rFonts w:cs="Arial"/>
          <w:sz w:val="21"/>
          <w:szCs w:val="21"/>
        </w:rPr>
        <w:t>umbik</w:t>
      </w:r>
      <w:r w:rsidR="00831F05" w:rsidRPr="3FC870CB">
        <w:rPr>
          <w:rFonts w:cs="Arial"/>
          <w:sz w:val="21"/>
          <w:szCs w:val="21"/>
          <w:highlight w:val="yellow"/>
        </w:rPr>
        <w:t xml:space="preserve"> </w:t>
      </w:r>
      <w:r w:rsidR="00831F05" w:rsidRPr="3FC870CB">
        <w:rPr>
          <w:rFonts w:cs="Arial"/>
          <w:sz w:val="21"/>
          <w:szCs w:val="21"/>
        </w:rPr>
        <w:t>Planning Scheme.</w:t>
      </w:r>
    </w:p>
    <w:p w14:paraId="2BD3CA81" w14:textId="77777777" w:rsidR="00E241E5" w:rsidRDefault="00E241E5" w:rsidP="3FC870CB"/>
    <w:p w14:paraId="1729816E" w14:textId="50DF2DE6" w:rsidR="0018626A" w:rsidRDefault="0018626A" w:rsidP="3FC870CB">
      <w:pPr>
        <w:rPr>
          <w:b/>
          <w:bCs/>
        </w:rPr>
      </w:pPr>
      <w:r w:rsidRPr="0018626A">
        <w:rPr>
          <w:b/>
          <w:bCs/>
        </w:rPr>
        <w:t>Recommended HO Extent</w:t>
      </w:r>
    </w:p>
    <w:p w14:paraId="20C95A6B" w14:textId="77777777" w:rsidR="00911D02" w:rsidRPr="0018626A" w:rsidRDefault="00911D02" w:rsidP="3FC870CB">
      <w:pPr>
        <w:rPr>
          <w:b/>
          <w:bCs/>
        </w:rPr>
      </w:pPr>
    </w:p>
    <w:p w14:paraId="6075E8F7" w14:textId="60055921" w:rsidR="0018626A" w:rsidRDefault="00911D02" w:rsidP="3FC870CB">
      <w:r>
        <w:rPr>
          <w:noProof/>
          <w:lang w:eastAsia="en-AU"/>
        </w:rPr>
        <w:drawing>
          <wp:inline distT="0" distB="0" distL="0" distR="0" wp14:anchorId="48392985" wp14:editId="53FAA7AF">
            <wp:extent cx="3797357" cy="3521773"/>
            <wp:effectExtent l="0" t="0" r="0" b="0"/>
            <wp:docPr id="157" name="image94.jpeg" descr="Macintosh HD:Users:samanthawestbrooke:Documents:SW Pty Ltd:Projects:Nillumbik:Assessments:Diamond Creek Assessments:Extents:2 Hillmartin Lane Ext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94.jpeg"/>
                    <pic:cNvPicPr/>
                  </pic:nvPicPr>
                  <pic:blipFill>
                    <a:blip r:embed="rId17" cstate="print"/>
                    <a:stretch>
                      <a:fillRect/>
                    </a:stretch>
                  </pic:blipFill>
                  <pic:spPr>
                    <a:xfrm>
                      <a:off x="0" y="0"/>
                      <a:ext cx="3797357" cy="3521773"/>
                    </a:xfrm>
                    <a:prstGeom prst="rect">
                      <a:avLst/>
                    </a:prstGeom>
                  </pic:spPr>
                </pic:pic>
              </a:graphicData>
            </a:graphic>
          </wp:inline>
        </w:drawing>
      </w:r>
    </w:p>
    <w:p w14:paraId="66B90DF4" w14:textId="3B40008B" w:rsidR="00911D02" w:rsidRPr="002F7C4D" w:rsidRDefault="002F7C4D" w:rsidP="3FC870CB">
      <w:pPr>
        <w:rPr>
          <w:sz w:val="18"/>
          <w:szCs w:val="18"/>
        </w:rPr>
      </w:pPr>
      <w:r w:rsidRPr="002F7C4D">
        <w:rPr>
          <w:sz w:val="18"/>
          <w:szCs w:val="18"/>
        </w:rPr>
        <w:t>Proposed Extent for 2 Hillmartin Lane, Diamond Creek</w:t>
      </w:r>
    </w:p>
    <w:p w14:paraId="4D9B75DC" w14:textId="77777777" w:rsidR="00911D02" w:rsidRDefault="00911D02" w:rsidP="3FC870CB"/>
    <w:p w14:paraId="4589F0F5" w14:textId="77777777" w:rsidR="0018626A" w:rsidRDefault="0018626A" w:rsidP="3FC870CB"/>
    <w:p w14:paraId="09F9F76B" w14:textId="0FEDAB5D" w:rsidR="004E6328" w:rsidRPr="00533CF2" w:rsidRDefault="075196F8" w:rsidP="3FC870CB">
      <w:pPr>
        <w:rPr>
          <w:rFonts w:eastAsia="Arial" w:cs="Arial"/>
          <w:sz w:val="21"/>
          <w:szCs w:val="21"/>
        </w:rPr>
      </w:pPr>
      <w:r w:rsidRPr="3FC870CB">
        <w:rPr>
          <w:rFonts w:eastAsia="Arial" w:cs="Arial"/>
          <w:color w:val="000000" w:themeColor="text1"/>
          <w:sz w:val="21"/>
          <w:szCs w:val="21"/>
        </w:rPr>
        <w:t>Recommendations for the Schedule to the Heritage Overlay (Clause 43.01) in the Nil</w:t>
      </w:r>
      <w:r w:rsidR="00C95C44">
        <w:rPr>
          <w:rFonts w:eastAsia="Arial" w:cs="Arial"/>
          <w:color w:val="000000" w:themeColor="text1"/>
          <w:sz w:val="21"/>
          <w:szCs w:val="21"/>
        </w:rPr>
        <w:t>l</w:t>
      </w:r>
      <w:r w:rsidRPr="3FC870CB">
        <w:rPr>
          <w:rFonts w:eastAsia="Arial" w:cs="Arial"/>
          <w:color w:val="000000" w:themeColor="text1"/>
          <w:sz w:val="21"/>
          <w:szCs w:val="21"/>
        </w:rPr>
        <w:t>umbik Planning Scheme:</w:t>
      </w:r>
    </w:p>
    <w:p w14:paraId="29D524AA" w14:textId="7DFFC29C" w:rsidR="004E6328" w:rsidRPr="00533CF2" w:rsidRDefault="004E6328" w:rsidP="3FC870CB">
      <w:pPr>
        <w:rPr>
          <w:sz w:val="21"/>
          <w:szCs w:val="21"/>
        </w:rPr>
      </w:pPr>
    </w:p>
    <w:p w14:paraId="70EC5816" w14:textId="77777777" w:rsidR="0007686E" w:rsidRPr="00533CF2" w:rsidRDefault="0007686E" w:rsidP="0053253F">
      <w:pPr>
        <w:rPr>
          <w:rFonts w:cs="Arial"/>
          <w:sz w:val="21"/>
          <w:szCs w:val="21"/>
        </w:rPr>
      </w:pPr>
    </w:p>
    <w:tbl>
      <w:tblPr>
        <w:tblW w:w="0" w:type="auto"/>
        <w:tblLayout w:type="fixed"/>
        <w:tblLook w:val="04A0" w:firstRow="1" w:lastRow="0" w:firstColumn="1" w:lastColumn="0" w:noHBand="0" w:noVBand="1"/>
      </w:tblPr>
      <w:tblGrid>
        <w:gridCol w:w="6053"/>
        <w:gridCol w:w="2242"/>
      </w:tblGrid>
      <w:tr w:rsidR="3FC870CB" w14:paraId="4C5BC047"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28052CD6" w14:textId="423F2149"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External Paint Co</w:t>
            </w:r>
            <w:r w:rsidR="00C95C44">
              <w:rPr>
                <w:rFonts w:eastAsia="Arial" w:cs="Arial"/>
                <w:b/>
                <w:bCs/>
                <w:color w:val="000000" w:themeColor="text1"/>
                <w:sz w:val="21"/>
                <w:szCs w:val="21"/>
              </w:rPr>
              <w:t>ntrols</w:t>
            </w:r>
            <w:r w:rsidRPr="3FC870CB">
              <w:rPr>
                <w:rFonts w:eastAsia="Arial" w:cs="Arial"/>
                <w:b/>
                <w:bCs/>
                <w:color w:val="000000" w:themeColor="text1"/>
                <w:sz w:val="21"/>
                <w:szCs w:val="21"/>
              </w:rPr>
              <w:t xml:space="preserve"> </w:t>
            </w:r>
          </w:p>
          <w:p w14:paraId="084DF574" w14:textId="74B9D742"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paint an already painted surface?</w:t>
            </w:r>
          </w:p>
        </w:tc>
        <w:tc>
          <w:tcPr>
            <w:tcW w:w="2242" w:type="dxa"/>
            <w:tcBorders>
              <w:top w:val="single" w:sz="6" w:space="0" w:color="auto"/>
              <w:left w:val="single" w:sz="6" w:space="0" w:color="auto"/>
              <w:bottom w:val="single" w:sz="6" w:space="0" w:color="auto"/>
              <w:right w:val="single" w:sz="6" w:space="0" w:color="auto"/>
            </w:tcBorders>
            <w:vAlign w:val="center"/>
          </w:tcPr>
          <w:p w14:paraId="6FE30565" w14:textId="59D6EE46" w:rsidR="0D33FB3A" w:rsidRDefault="00C411BC"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62BEE28"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5C518460" w14:textId="646AA7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Internal Alteration Controls </w:t>
            </w:r>
          </w:p>
          <w:p w14:paraId="63488B45" w14:textId="16918C10"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for internal alterations?</w:t>
            </w:r>
          </w:p>
        </w:tc>
        <w:tc>
          <w:tcPr>
            <w:tcW w:w="2242" w:type="dxa"/>
            <w:tcBorders>
              <w:top w:val="single" w:sz="6" w:space="0" w:color="auto"/>
              <w:left w:val="single" w:sz="6" w:space="0" w:color="auto"/>
              <w:bottom w:val="single" w:sz="6" w:space="0" w:color="auto"/>
              <w:right w:val="single" w:sz="6" w:space="0" w:color="auto"/>
            </w:tcBorders>
            <w:vAlign w:val="center"/>
          </w:tcPr>
          <w:p w14:paraId="3ECA4109" w14:textId="34F52A97" w:rsidR="3FC870CB" w:rsidRDefault="00C411BC"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C2E648C"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62B02D6" w14:textId="132DE1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Tree Controls </w:t>
            </w:r>
          </w:p>
          <w:p w14:paraId="056336C2" w14:textId="499E4626"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remove a tree?</w:t>
            </w:r>
          </w:p>
        </w:tc>
        <w:tc>
          <w:tcPr>
            <w:tcW w:w="2242" w:type="dxa"/>
            <w:tcBorders>
              <w:top w:val="single" w:sz="6" w:space="0" w:color="auto"/>
              <w:left w:val="single" w:sz="6" w:space="0" w:color="auto"/>
              <w:bottom w:val="single" w:sz="6" w:space="0" w:color="auto"/>
              <w:right w:val="single" w:sz="6" w:space="0" w:color="auto"/>
            </w:tcBorders>
            <w:vAlign w:val="center"/>
          </w:tcPr>
          <w:p w14:paraId="3852C90F" w14:textId="24453A3F" w:rsidR="3FC870CB" w:rsidRDefault="00C411BC"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CCD60ED"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A72CCE2" w14:textId="57BCC46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Victorian Heritage Register</w:t>
            </w:r>
          </w:p>
          <w:p w14:paraId="6A6B14DB" w14:textId="4A0C234D"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included on the Victorian Heritage Register?</w:t>
            </w:r>
          </w:p>
        </w:tc>
        <w:tc>
          <w:tcPr>
            <w:tcW w:w="2242" w:type="dxa"/>
            <w:tcBorders>
              <w:top w:val="single" w:sz="6" w:space="0" w:color="auto"/>
              <w:left w:val="single" w:sz="6" w:space="0" w:color="auto"/>
              <w:bottom w:val="single" w:sz="6" w:space="0" w:color="auto"/>
              <w:right w:val="single" w:sz="6" w:space="0" w:color="auto"/>
            </w:tcBorders>
            <w:vAlign w:val="center"/>
          </w:tcPr>
          <w:p w14:paraId="46BDF8F0" w14:textId="18D27224" w:rsidR="3FC870CB" w:rsidRDefault="00C411BC"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33D8D367"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437D71C" w14:textId="354C5292"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Incorporated Plan </w:t>
            </w:r>
          </w:p>
          <w:p w14:paraId="292268A5" w14:textId="52DAB07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Does an Incorporated Plan apply to the site?</w:t>
            </w:r>
          </w:p>
        </w:tc>
        <w:tc>
          <w:tcPr>
            <w:tcW w:w="2242" w:type="dxa"/>
            <w:tcBorders>
              <w:top w:val="single" w:sz="6" w:space="0" w:color="auto"/>
              <w:left w:val="single" w:sz="6" w:space="0" w:color="auto"/>
              <w:bottom w:val="single" w:sz="6" w:space="0" w:color="auto"/>
              <w:right w:val="single" w:sz="6" w:space="0" w:color="auto"/>
            </w:tcBorders>
            <w:vAlign w:val="center"/>
          </w:tcPr>
          <w:p w14:paraId="3C41C72A" w14:textId="093A384E" w:rsidR="3FC870CB" w:rsidRDefault="00C411BC"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5A3DF52A"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4CD4459" w14:textId="16795F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Outbuildings and fences exemptions </w:t>
            </w:r>
          </w:p>
          <w:p w14:paraId="5CDE858A" w14:textId="223AB61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Are there outbuildings and fences which are not exempt from notice and review?</w:t>
            </w:r>
          </w:p>
        </w:tc>
        <w:tc>
          <w:tcPr>
            <w:tcW w:w="2242" w:type="dxa"/>
            <w:tcBorders>
              <w:top w:val="single" w:sz="6" w:space="0" w:color="auto"/>
              <w:left w:val="single" w:sz="6" w:space="0" w:color="auto"/>
              <w:bottom w:val="single" w:sz="6" w:space="0" w:color="auto"/>
              <w:right w:val="single" w:sz="6" w:space="0" w:color="auto"/>
            </w:tcBorders>
            <w:vAlign w:val="center"/>
          </w:tcPr>
          <w:p w14:paraId="213909AE" w14:textId="740AA52F" w:rsidR="3FC870CB" w:rsidRDefault="00896CB8"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4C48904B"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912FF96" w14:textId="42CE60B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Prohibited uses may be permitted </w:t>
            </w:r>
          </w:p>
          <w:p w14:paraId="489137A9" w14:textId="5BF0835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Can a permit be granted to use the place for a use which would otherwise be prohibited?</w:t>
            </w:r>
          </w:p>
        </w:tc>
        <w:tc>
          <w:tcPr>
            <w:tcW w:w="2242" w:type="dxa"/>
            <w:tcBorders>
              <w:top w:val="single" w:sz="6" w:space="0" w:color="auto"/>
              <w:left w:val="single" w:sz="6" w:space="0" w:color="auto"/>
              <w:bottom w:val="single" w:sz="6" w:space="0" w:color="auto"/>
              <w:right w:val="single" w:sz="6" w:space="0" w:color="auto"/>
            </w:tcBorders>
            <w:vAlign w:val="center"/>
          </w:tcPr>
          <w:p w14:paraId="196E7BA8" w14:textId="1556C010" w:rsidR="3FC870CB" w:rsidRDefault="00896CB8" w:rsidP="3FC870CB">
            <w:pPr>
              <w:jc w:val="left"/>
              <w:rPr>
                <w:rFonts w:eastAsia="Arial" w:cs="Arial"/>
                <w:color w:val="000000" w:themeColor="text1"/>
                <w:sz w:val="21"/>
                <w:szCs w:val="21"/>
              </w:rPr>
            </w:pPr>
            <w:r>
              <w:rPr>
                <w:rFonts w:eastAsia="Arial" w:cs="Arial"/>
                <w:color w:val="000000" w:themeColor="text1"/>
                <w:sz w:val="21"/>
                <w:szCs w:val="21"/>
              </w:rPr>
              <w:t>Yes</w:t>
            </w:r>
          </w:p>
        </w:tc>
      </w:tr>
      <w:tr w:rsidR="3FC870CB" w14:paraId="41372DAF"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2825C98" w14:textId="47B663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Aboriginal Heritage Place</w:t>
            </w:r>
          </w:p>
          <w:p w14:paraId="141B7B64" w14:textId="60C58DF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lastRenderedPageBreak/>
              <w:t>Is the place an Aboriginal heritage place which is subject to the requirements of the Aboriginal Heritage Act 2006?</w:t>
            </w:r>
          </w:p>
        </w:tc>
        <w:tc>
          <w:tcPr>
            <w:tcW w:w="2242" w:type="dxa"/>
            <w:tcBorders>
              <w:top w:val="single" w:sz="6" w:space="0" w:color="auto"/>
              <w:left w:val="single" w:sz="6" w:space="0" w:color="auto"/>
              <w:bottom w:val="single" w:sz="6" w:space="0" w:color="auto"/>
              <w:right w:val="single" w:sz="6" w:space="0" w:color="auto"/>
            </w:tcBorders>
            <w:vAlign w:val="center"/>
          </w:tcPr>
          <w:p w14:paraId="699742C6" w14:textId="3DBE942C" w:rsidR="3FC870CB" w:rsidRDefault="00896CB8" w:rsidP="3FC870CB">
            <w:pPr>
              <w:jc w:val="left"/>
              <w:rPr>
                <w:rFonts w:eastAsia="Arial" w:cs="Arial"/>
                <w:color w:val="000000" w:themeColor="text1"/>
                <w:sz w:val="21"/>
                <w:szCs w:val="21"/>
              </w:rPr>
            </w:pPr>
            <w:r>
              <w:rPr>
                <w:rFonts w:eastAsia="Arial" w:cs="Arial"/>
                <w:color w:val="000000" w:themeColor="text1"/>
                <w:sz w:val="21"/>
                <w:szCs w:val="21"/>
              </w:rPr>
              <w:lastRenderedPageBreak/>
              <w:t>No</w:t>
            </w:r>
          </w:p>
        </w:tc>
      </w:tr>
    </w:tbl>
    <w:p w14:paraId="73A3A0C4" w14:textId="743BBF41" w:rsidR="3FC870CB" w:rsidRDefault="3FC870CB" w:rsidP="3FC870CB">
      <w:pPr>
        <w:rPr>
          <w:sz w:val="21"/>
          <w:szCs w:val="21"/>
        </w:rPr>
      </w:pPr>
    </w:p>
    <w:p w14:paraId="62DBF479" w14:textId="48E2DF60" w:rsidR="50767ADB" w:rsidRDefault="50767ADB" w:rsidP="50767ADB">
      <w:pPr>
        <w:rPr>
          <w:sz w:val="21"/>
          <w:szCs w:val="21"/>
        </w:rPr>
      </w:pPr>
    </w:p>
    <w:p w14:paraId="35FC2506" w14:textId="77777777" w:rsidR="00F0333B" w:rsidRPr="001E3CC7" w:rsidRDefault="00F0333B" w:rsidP="0053253F">
      <w:pPr>
        <w:rPr>
          <w:rFonts w:cs="Arial"/>
          <w:b/>
          <w:sz w:val="21"/>
          <w:szCs w:val="21"/>
        </w:rPr>
      </w:pPr>
      <w:r w:rsidRPr="001E3CC7">
        <w:rPr>
          <w:rFonts w:cs="Arial"/>
          <w:b/>
          <w:sz w:val="21"/>
          <w:szCs w:val="21"/>
        </w:rPr>
        <w:t>Identified By</w:t>
      </w:r>
    </w:p>
    <w:p w14:paraId="252539B6" w14:textId="77777777" w:rsidR="00713128" w:rsidRPr="001E3CC7" w:rsidRDefault="00713128" w:rsidP="0053253F">
      <w:pPr>
        <w:rPr>
          <w:rFonts w:cs="Arial"/>
          <w:sz w:val="21"/>
          <w:szCs w:val="21"/>
        </w:rPr>
      </w:pPr>
    </w:p>
    <w:p w14:paraId="18DBB61F" w14:textId="00D9FE72" w:rsidR="00935F75" w:rsidRPr="00533CF2" w:rsidRDefault="00D17E45" w:rsidP="0053253F">
      <w:pPr>
        <w:rPr>
          <w:rFonts w:cs="Arial"/>
          <w:sz w:val="21"/>
          <w:szCs w:val="21"/>
        </w:rPr>
      </w:pPr>
      <w:r>
        <w:rPr>
          <w:rFonts w:cs="Arial"/>
          <w:sz w:val="21"/>
          <w:szCs w:val="21"/>
        </w:rPr>
        <w:t xml:space="preserve">Samantha Westbrooke Pty Ltd, Dr Peter Mills and Trethowan architecture </w:t>
      </w:r>
    </w:p>
    <w:p w14:paraId="3FE67038" w14:textId="77777777" w:rsidR="00827F9F" w:rsidRDefault="00827F9F">
      <w:pPr>
        <w:overflowPunct/>
        <w:autoSpaceDE/>
        <w:autoSpaceDN/>
        <w:adjustRightInd/>
        <w:jc w:val="left"/>
        <w:textAlignment w:val="auto"/>
        <w:rPr>
          <w:rFonts w:cs="Arial"/>
          <w:b/>
          <w:sz w:val="21"/>
          <w:szCs w:val="21"/>
        </w:rPr>
      </w:pPr>
      <w:r>
        <w:rPr>
          <w:rFonts w:cs="Arial"/>
          <w:b/>
          <w:sz w:val="21"/>
          <w:szCs w:val="21"/>
        </w:rPr>
        <w:br w:type="page"/>
      </w:r>
    </w:p>
    <w:p w14:paraId="3E9BCFCB" w14:textId="02EF9178" w:rsidR="002B0C04" w:rsidRPr="00F663F6" w:rsidRDefault="00F0333B" w:rsidP="004263CB">
      <w:pPr>
        <w:rPr>
          <w:rFonts w:cs="Arial"/>
          <w:b/>
          <w:sz w:val="21"/>
          <w:szCs w:val="21"/>
        </w:rPr>
      </w:pPr>
      <w:r w:rsidRPr="00533CF2">
        <w:rPr>
          <w:rFonts w:cs="Arial"/>
          <w:b/>
          <w:sz w:val="21"/>
          <w:szCs w:val="21"/>
        </w:rPr>
        <w:lastRenderedPageBreak/>
        <w:t>References</w:t>
      </w:r>
    </w:p>
    <w:p w14:paraId="6BB3FE09" w14:textId="77777777" w:rsidR="00D4714F" w:rsidRDefault="00D4714F" w:rsidP="004263CB">
      <w:pPr>
        <w:rPr>
          <w:rFonts w:cs="Arial"/>
          <w:i/>
          <w:iCs/>
          <w:sz w:val="21"/>
          <w:szCs w:val="21"/>
        </w:rPr>
      </w:pPr>
    </w:p>
    <w:p w14:paraId="204D8A2A" w14:textId="7FC961A5" w:rsidR="00FA47BE" w:rsidRDefault="00FA47BE" w:rsidP="004263CB">
      <w:pPr>
        <w:rPr>
          <w:rFonts w:cs="Arial"/>
          <w:sz w:val="21"/>
          <w:szCs w:val="21"/>
        </w:rPr>
      </w:pPr>
      <w:r>
        <w:rPr>
          <w:rFonts w:cs="Arial"/>
          <w:i/>
          <w:iCs/>
          <w:sz w:val="21"/>
          <w:szCs w:val="21"/>
        </w:rPr>
        <w:t>Age,</w:t>
      </w:r>
      <w:r>
        <w:rPr>
          <w:rFonts w:cs="Arial"/>
          <w:sz w:val="21"/>
          <w:szCs w:val="21"/>
        </w:rPr>
        <w:t xml:space="preserve"> as cited. </w:t>
      </w:r>
    </w:p>
    <w:p w14:paraId="518B2EE5" w14:textId="38CC2044" w:rsidR="00FA47BE" w:rsidRDefault="00FA47BE" w:rsidP="004263CB">
      <w:pPr>
        <w:rPr>
          <w:rFonts w:cs="Arial"/>
          <w:sz w:val="21"/>
          <w:szCs w:val="21"/>
        </w:rPr>
      </w:pPr>
    </w:p>
    <w:p w14:paraId="09FEAFB7" w14:textId="27CE0C20" w:rsidR="00FD47D0" w:rsidRDefault="00FD47D0" w:rsidP="004263CB">
      <w:pPr>
        <w:rPr>
          <w:rFonts w:cs="Arial"/>
          <w:sz w:val="21"/>
          <w:szCs w:val="21"/>
        </w:rPr>
      </w:pPr>
      <w:r>
        <w:rPr>
          <w:rFonts w:cs="Arial"/>
          <w:i/>
          <w:iCs/>
          <w:sz w:val="21"/>
          <w:szCs w:val="21"/>
        </w:rPr>
        <w:t xml:space="preserve">Australasian, </w:t>
      </w:r>
      <w:r>
        <w:rPr>
          <w:rFonts w:cs="Arial"/>
          <w:sz w:val="21"/>
          <w:szCs w:val="21"/>
        </w:rPr>
        <w:t xml:space="preserve">as cited. </w:t>
      </w:r>
    </w:p>
    <w:p w14:paraId="6DEAAF09" w14:textId="77777777" w:rsidR="005D1558" w:rsidRDefault="005D1558" w:rsidP="005D1558">
      <w:pPr>
        <w:pStyle w:val="BodyText"/>
        <w:spacing w:line="360" w:lineRule="auto"/>
      </w:pPr>
    </w:p>
    <w:p w14:paraId="31C3688C" w14:textId="0EAED86D" w:rsidR="00120183" w:rsidRDefault="000E7E55" w:rsidP="00F663F6">
      <w:pPr>
        <w:rPr>
          <w:rStyle w:val="Emphasis"/>
          <w:rFonts w:cs="Arial"/>
          <w:color w:val="000000"/>
          <w:shd w:val="clear" w:color="auto" w:fill="FFFFFF"/>
        </w:rPr>
      </w:pPr>
      <w:r>
        <w:rPr>
          <w:rFonts w:cs="Arial"/>
          <w:color w:val="000000"/>
          <w:shd w:val="clear" w:color="auto" w:fill="FFFFFF"/>
        </w:rPr>
        <w:t>Great Britain. War Office. General Staff. Commonwealth Section &amp; Australia. Department of Defence 1920, 'Yan Yean, Victoria / prepared by Commonwealth Section, Imperial General Staff' </w:t>
      </w:r>
      <w:r>
        <w:rPr>
          <w:rStyle w:val="Emphasis"/>
          <w:rFonts w:cs="Arial"/>
          <w:color w:val="000000"/>
          <w:shd w:val="clear" w:color="auto" w:fill="FFFFFF"/>
        </w:rPr>
        <w:t>Yan Yean, Victoria [cartographic material]</w:t>
      </w:r>
    </w:p>
    <w:p w14:paraId="4BEDA45B" w14:textId="77777777" w:rsidR="00982BD3" w:rsidRDefault="00982BD3" w:rsidP="00F663F6">
      <w:pPr>
        <w:rPr>
          <w:rFonts w:cs="Arial"/>
          <w:sz w:val="21"/>
          <w:szCs w:val="21"/>
        </w:rPr>
      </w:pPr>
    </w:p>
    <w:p w14:paraId="1BCCF57B" w14:textId="6995C56A" w:rsidR="00F663F6" w:rsidRDefault="00F663F6" w:rsidP="00F663F6">
      <w:pPr>
        <w:rPr>
          <w:rFonts w:cs="Arial"/>
          <w:sz w:val="21"/>
          <w:szCs w:val="21"/>
        </w:rPr>
      </w:pPr>
      <w:r w:rsidRPr="00A84E45">
        <w:rPr>
          <w:rFonts w:cs="Arial"/>
          <w:sz w:val="21"/>
          <w:szCs w:val="21"/>
        </w:rPr>
        <w:t>Graeme Butler &amp; Associates. 1996. Nillumbik Shire Heritage Study Stage 1, Review, Heritage Survey and Environmental History. Greensborough: Shire of Nillumbik.</w:t>
      </w:r>
    </w:p>
    <w:p w14:paraId="26B3F51A" w14:textId="77777777" w:rsidR="00FD47D0" w:rsidRDefault="00FD47D0" w:rsidP="004263CB">
      <w:pPr>
        <w:rPr>
          <w:rFonts w:cs="Arial"/>
          <w:sz w:val="21"/>
          <w:szCs w:val="21"/>
        </w:rPr>
      </w:pPr>
    </w:p>
    <w:p w14:paraId="6324FF3C" w14:textId="6A1C29CB" w:rsidR="004E1E02" w:rsidRDefault="004E1E02" w:rsidP="004263CB">
      <w:pPr>
        <w:rPr>
          <w:rFonts w:cs="Arial"/>
          <w:sz w:val="21"/>
          <w:szCs w:val="21"/>
        </w:rPr>
      </w:pPr>
      <w:r>
        <w:rPr>
          <w:rFonts w:cs="Arial"/>
          <w:i/>
          <w:iCs/>
          <w:sz w:val="21"/>
          <w:szCs w:val="21"/>
        </w:rPr>
        <w:t xml:space="preserve">Hurstbridge Advertiser, </w:t>
      </w:r>
      <w:r>
        <w:rPr>
          <w:rFonts w:cs="Arial"/>
          <w:sz w:val="21"/>
          <w:szCs w:val="21"/>
        </w:rPr>
        <w:t xml:space="preserve">as cited. </w:t>
      </w:r>
    </w:p>
    <w:p w14:paraId="17ED88FE" w14:textId="77777777" w:rsidR="004E1E02" w:rsidRPr="004E1E02" w:rsidRDefault="004E1E02" w:rsidP="004263CB">
      <w:pPr>
        <w:rPr>
          <w:rFonts w:cs="Arial"/>
          <w:sz w:val="21"/>
          <w:szCs w:val="21"/>
        </w:rPr>
      </w:pPr>
    </w:p>
    <w:p w14:paraId="5C58B275" w14:textId="77777777" w:rsidR="00FA47BE" w:rsidRDefault="00FA47BE" w:rsidP="004263CB">
      <w:pPr>
        <w:rPr>
          <w:rFonts w:cs="Arial"/>
          <w:sz w:val="21"/>
          <w:szCs w:val="21"/>
        </w:rPr>
      </w:pPr>
      <w:r>
        <w:rPr>
          <w:rFonts w:cs="Arial"/>
          <w:sz w:val="21"/>
          <w:szCs w:val="21"/>
        </w:rPr>
        <w:t>Land Victoria, Certificates of Title (CT), as cited.</w:t>
      </w:r>
    </w:p>
    <w:p w14:paraId="472CCA8F" w14:textId="006F8071" w:rsidR="00FA47BE" w:rsidRDefault="00FA47BE" w:rsidP="004263CB">
      <w:pPr>
        <w:rPr>
          <w:rFonts w:cs="Arial"/>
          <w:sz w:val="21"/>
          <w:szCs w:val="21"/>
        </w:rPr>
      </w:pPr>
    </w:p>
    <w:p w14:paraId="509F2167" w14:textId="7236AB40" w:rsidR="00EC7338" w:rsidRDefault="00EC7338" w:rsidP="004263CB">
      <w:pPr>
        <w:rPr>
          <w:rFonts w:cs="Arial"/>
          <w:spacing w:val="-2"/>
        </w:rPr>
      </w:pPr>
      <w:r w:rsidRPr="00236C73">
        <w:rPr>
          <w:rFonts w:cs="Arial"/>
          <w:i/>
        </w:rPr>
        <w:t>Mildura</w:t>
      </w:r>
      <w:r w:rsidRPr="00236C73">
        <w:rPr>
          <w:rFonts w:cs="Arial"/>
          <w:i/>
          <w:spacing w:val="-2"/>
        </w:rPr>
        <w:t xml:space="preserve"> </w:t>
      </w:r>
      <w:r w:rsidRPr="00236C73">
        <w:rPr>
          <w:rFonts w:cs="Arial"/>
          <w:i/>
        </w:rPr>
        <w:t>Cultivator</w:t>
      </w:r>
      <w:r w:rsidRPr="00236C73">
        <w:rPr>
          <w:rFonts w:cs="Arial"/>
        </w:rPr>
        <w:t>,</w:t>
      </w:r>
      <w:r>
        <w:rPr>
          <w:rFonts w:cs="Arial"/>
          <w:spacing w:val="-2"/>
        </w:rPr>
        <w:t xml:space="preserve"> as cited. </w:t>
      </w:r>
    </w:p>
    <w:p w14:paraId="3654B614" w14:textId="77777777" w:rsidR="00EC7338" w:rsidRDefault="00EC7338" w:rsidP="004263CB">
      <w:pPr>
        <w:rPr>
          <w:rFonts w:cs="Arial"/>
          <w:sz w:val="21"/>
          <w:szCs w:val="21"/>
        </w:rPr>
      </w:pPr>
    </w:p>
    <w:p w14:paraId="33BC1AC2" w14:textId="4CEC58B6" w:rsidR="005A3476" w:rsidRDefault="005A3476" w:rsidP="004263CB">
      <w:r w:rsidRPr="00236C73">
        <w:t xml:space="preserve">Shire of Heidelberg Greensborough Riding </w:t>
      </w:r>
      <w:r>
        <w:t>R</w:t>
      </w:r>
      <w:r w:rsidRPr="00236C73">
        <w:t xml:space="preserve">ate </w:t>
      </w:r>
      <w:r>
        <w:t>B</w:t>
      </w:r>
      <w:r w:rsidRPr="00236C73">
        <w:t>ook</w:t>
      </w:r>
      <w:r>
        <w:t xml:space="preserve">s (RB), as cited. </w:t>
      </w:r>
    </w:p>
    <w:p w14:paraId="31C4F468" w14:textId="77777777" w:rsidR="005A3476" w:rsidRDefault="005A3476" w:rsidP="004263CB">
      <w:pPr>
        <w:rPr>
          <w:rFonts w:cs="Arial"/>
          <w:sz w:val="21"/>
          <w:szCs w:val="21"/>
        </w:rPr>
      </w:pPr>
    </w:p>
    <w:p w14:paraId="153CFCAB" w14:textId="4244D4AB" w:rsidR="00FA47BE" w:rsidRDefault="00FA47BE" w:rsidP="004263CB">
      <w:pPr>
        <w:rPr>
          <w:rFonts w:cs="Arial"/>
          <w:sz w:val="21"/>
          <w:szCs w:val="21"/>
        </w:rPr>
      </w:pPr>
      <w:r>
        <w:rPr>
          <w:rFonts w:cs="Arial"/>
          <w:i/>
          <w:iCs/>
          <w:sz w:val="21"/>
          <w:szCs w:val="21"/>
        </w:rPr>
        <w:t>Table Talk</w:t>
      </w:r>
      <w:r>
        <w:rPr>
          <w:rFonts w:cs="Arial"/>
          <w:sz w:val="21"/>
          <w:szCs w:val="21"/>
        </w:rPr>
        <w:t xml:space="preserve"> (Melbourne)</w:t>
      </w:r>
      <w:r>
        <w:rPr>
          <w:rFonts w:cs="Arial"/>
          <w:i/>
          <w:iCs/>
          <w:sz w:val="21"/>
          <w:szCs w:val="21"/>
        </w:rPr>
        <w:t xml:space="preserve">, </w:t>
      </w:r>
      <w:r>
        <w:rPr>
          <w:rFonts w:cs="Arial"/>
          <w:sz w:val="21"/>
          <w:szCs w:val="21"/>
        </w:rPr>
        <w:t xml:space="preserve">as cited.  </w:t>
      </w:r>
    </w:p>
    <w:p w14:paraId="659F8F31" w14:textId="35453A4C" w:rsidR="002B5B38" w:rsidRDefault="002B5B38" w:rsidP="004263CB">
      <w:pPr>
        <w:rPr>
          <w:rFonts w:cs="Arial"/>
          <w:sz w:val="21"/>
          <w:szCs w:val="21"/>
        </w:rPr>
      </w:pPr>
    </w:p>
    <w:p w14:paraId="3BDA33E0" w14:textId="77777777" w:rsidR="002B5B38" w:rsidRDefault="002B5B38" w:rsidP="004263CB">
      <w:pPr>
        <w:rPr>
          <w:rFonts w:cs="Arial"/>
          <w:sz w:val="21"/>
          <w:szCs w:val="21"/>
        </w:rPr>
      </w:pPr>
    </w:p>
    <w:p w14:paraId="762A8842" w14:textId="73C8CADB" w:rsidR="002F4AFB" w:rsidRPr="00FB4871" w:rsidRDefault="002F4AFB" w:rsidP="00FB4871">
      <w:pPr>
        <w:rPr>
          <w:sz w:val="21"/>
          <w:szCs w:val="21"/>
        </w:rPr>
      </w:pPr>
    </w:p>
    <w:sectPr w:rsidR="002F4AFB" w:rsidRPr="00FB4871" w:rsidSect="00FC7300">
      <w:headerReference w:type="default" r:id="rId18"/>
      <w:footerReference w:type="default" r:id="rId19"/>
      <w:pgSz w:w="11906" w:h="16838"/>
      <w:pgMar w:top="1843" w:right="1800" w:bottom="1440" w:left="180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8DD8EE" w14:textId="77777777" w:rsidR="00FA0C0A" w:rsidRDefault="00FA0C0A">
      <w:r>
        <w:separator/>
      </w:r>
    </w:p>
  </w:endnote>
  <w:endnote w:type="continuationSeparator" w:id="0">
    <w:p w14:paraId="7504C037" w14:textId="77777777" w:rsidR="00FA0C0A" w:rsidRDefault="00FA0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35FB2" w14:textId="27ED9029" w:rsidR="009235F4" w:rsidRDefault="009235F4">
    <w:pPr>
      <w:pStyle w:val="Footer"/>
      <w:jc w:val="center"/>
    </w:pPr>
    <w:r>
      <w:fldChar w:fldCharType="begin"/>
    </w:r>
    <w:r>
      <w:instrText xml:space="preserve"> PAGE   \* MERGEFORMAT </w:instrText>
    </w:r>
    <w:r>
      <w:fldChar w:fldCharType="separate"/>
    </w:r>
    <w:r w:rsidR="00AD445E">
      <w:rPr>
        <w:noProof/>
      </w:rPr>
      <w:t>9</w:t>
    </w:r>
    <w:r>
      <w:rPr>
        <w:noProof/>
      </w:rPr>
      <w:fldChar w:fldCharType="end"/>
    </w:r>
  </w:p>
  <w:p w14:paraId="7F7B09F3" w14:textId="77777777" w:rsidR="009235F4" w:rsidRDefault="009235F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EE9801" w14:textId="77777777" w:rsidR="00FA0C0A" w:rsidRDefault="00FA0C0A">
      <w:r>
        <w:separator/>
      </w:r>
    </w:p>
  </w:footnote>
  <w:footnote w:type="continuationSeparator" w:id="0">
    <w:p w14:paraId="41818374" w14:textId="77777777" w:rsidR="00FA0C0A" w:rsidRDefault="00FA0C0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0AC98" w14:textId="76CF39B7" w:rsidR="009235F4" w:rsidRPr="00A51763" w:rsidRDefault="00506A8F" w:rsidP="0053253F">
    <w:pPr>
      <w:pStyle w:val="Header"/>
      <w:jc w:val="center"/>
    </w:pPr>
    <w:r>
      <w:rPr>
        <w:noProof/>
        <w:lang w:eastAsia="en-AU"/>
      </w:rPr>
      <w:drawing>
        <wp:inline distT="0" distB="0" distL="0" distR="0" wp14:anchorId="06E621E9" wp14:editId="10AFBE81">
          <wp:extent cx="1334376" cy="820153"/>
          <wp:effectExtent l="0" t="0" r="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45236" cy="826828"/>
                  </a:xfrm>
                  <a:prstGeom prst="rect">
                    <a:avLst/>
                  </a:prstGeom>
                </pic:spPr>
              </pic:pic>
            </a:graphicData>
          </a:graphic>
        </wp:inline>
      </w:drawing>
    </w:r>
  </w:p>
</w:hdr>
</file>

<file path=word/intelligence.xml><?xml version="1.0" encoding="utf-8"?>
<int:Intelligence xmlns:int="http://schemas.microsoft.com/office/intelligence/2019/intelligence">
  <int:IntelligenceSettings/>
  <int:Manifest/>
  <int:Observations/>
</int: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93F32DD"/>
    <w:multiLevelType w:val="hybridMultilevel"/>
    <w:tmpl w:val="E7F05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719"/>
    <w:rsid w:val="000077B0"/>
    <w:rsid w:val="000122AD"/>
    <w:rsid w:val="00014192"/>
    <w:rsid w:val="000154DD"/>
    <w:rsid w:val="00020F46"/>
    <w:rsid w:val="000226FB"/>
    <w:rsid w:val="00022F3C"/>
    <w:rsid w:val="000262DF"/>
    <w:rsid w:val="000274A4"/>
    <w:rsid w:val="00033575"/>
    <w:rsid w:val="00035200"/>
    <w:rsid w:val="000414F2"/>
    <w:rsid w:val="000456A1"/>
    <w:rsid w:val="000536FB"/>
    <w:rsid w:val="00053945"/>
    <w:rsid w:val="000545A0"/>
    <w:rsid w:val="00057B39"/>
    <w:rsid w:val="00062C40"/>
    <w:rsid w:val="000648FC"/>
    <w:rsid w:val="00066DD5"/>
    <w:rsid w:val="00074557"/>
    <w:rsid w:val="0007515A"/>
    <w:rsid w:val="0007686E"/>
    <w:rsid w:val="000A2BD2"/>
    <w:rsid w:val="000A39ED"/>
    <w:rsid w:val="000A7362"/>
    <w:rsid w:val="000C02C4"/>
    <w:rsid w:val="000C4C9F"/>
    <w:rsid w:val="000C7A77"/>
    <w:rsid w:val="000D062C"/>
    <w:rsid w:val="000D19AF"/>
    <w:rsid w:val="000D4813"/>
    <w:rsid w:val="000D49CE"/>
    <w:rsid w:val="000D55B5"/>
    <w:rsid w:val="000D68A8"/>
    <w:rsid w:val="000E51B0"/>
    <w:rsid w:val="000E6362"/>
    <w:rsid w:val="000E6D08"/>
    <w:rsid w:val="000E7E55"/>
    <w:rsid w:val="000F3F6D"/>
    <w:rsid w:val="001028A3"/>
    <w:rsid w:val="0010333E"/>
    <w:rsid w:val="0010386C"/>
    <w:rsid w:val="00103D51"/>
    <w:rsid w:val="00104F1F"/>
    <w:rsid w:val="00112879"/>
    <w:rsid w:val="00120183"/>
    <w:rsid w:val="00127E5E"/>
    <w:rsid w:val="0013394E"/>
    <w:rsid w:val="001364B0"/>
    <w:rsid w:val="001369D2"/>
    <w:rsid w:val="001469BB"/>
    <w:rsid w:val="001517D4"/>
    <w:rsid w:val="001562C7"/>
    <w:rsid w:val="001612CB"/>
    <w:rsid w:val="00163F52"/>
    <w:rsid w:val="00171780"/>
    <w:rsid w:val="0017319C"/>
    <w:rsid w:val="001823E3"/>
    <w:rsid w:val="001855EB"/>
    <w:rsid w:val="0018626A"/>
    <w:rsid w:val="001910B5"/>
    <w:rsid w:val="001A52D1"/>
    <w:rsid w:val="001A7000"/>
    <w:rsid w:val="001B0F67"/>
    <w:rsid w:val="001B23A1"/>
    <w:rsid w:val="001C1CE5"/>
    <w:rsid w:val="001C2B42"/>
    <w:rsid w:val="001C6550"/>
    <w:rsid w:val="001D116F"/>
    <w:rsid w:val="001D272A"/>
    <w:rsid w:val="001D28D9"/>
    <w:rsid w:val="001D4F49"/>
    <w:rsid w:val="001D69F4"/>
    <w:rsid w:val="001D6FC0"/>
    <w:rsid w:val="001D7026"/>
    <w:rsid w:val="001E3CC7"/>
    <w:rsid w:val="001E3DB8"/>
    <w:rsid w:val="001E3FAF"/>
    <w:rsid w:val="001E5E3B"/>
    <w:rsid w:val="001F7884"/>
    <w:rsid w:val="00224060"/>
    <w:rsid w:val="00226815"/>
    <w:rsid w:val="00227832"/>
    <w:rsid w:val="00235A3E"/>
    <w:rsid w:val="00236C73"/>
    <w:rsid w:val="00243455"/>
    <w:rsid w:val="0024366A"/>
    <w:rsid w:val="00252F73"/>
    <w:rsid w:val="002540D5"/>
    <w:rsid w:val="00260939"/>
    <w:rsid w:val="00264859"/>
    <w:rsid w:val="00275696"/>
    <w:rsid w:val="00284B92"/>
    <w:rsid w:val="002878FB"/>
    <w:rsid w:val="00287B52"/>
    <w:rsid w:val="00292A40"/>
    <w:rsid w:val="002946A1"/>
    <w:rsid w:val="00297D7A"/>
    <w:rsid w:val="00297D9F"/>
    <w:rsid w:val="002A0331"/>
    <w:rsid w:val="002A0351"/>
    <w:rsid w:val="002A461F"/>
    <w:rsid w:val="002B0C04"/>
    <w:rsid w:val="002B26CE"/>
    <w:rsid w:val="002B3495"/>
    <w:rsid w:val="002B4BEC"/>
    <w:rsid w:val="002B4D7C"/>
    <w:rsid w:val="002B5B38"/>
    <w:rsid w:val="002B7137"/>
    <w:rsid w:val="002C7ACC"/>
    <w:rsid w:val="002E22D2"/>
    <w:rsid w:val="002E26FD"/>
    <w:rsid w:val="002E4720"/>
    <w:rsid w:val="002E6BFA"/>
    <w:rsid w:val="002F4AFB"/>
    <w:rsid w:val="002F71CD"/>
    <w:rsid w:val="002F7C4D"/>
    <w:rsid w:val="00300E99"/>
    <w:rsid w:val="0030201F"/>
    <w:rsid w:val="00304154"/>
    <w:rsid w:val="00304CCC"/>
    <w:rsid w:val="0030501C"/>
    <w:rsid w:val="00307380"/>
    <w:rsid w:val="00310FFD"/>
    <w:rsid w:val="0031331E"/>
    <w:rsid w:val="00315229"/>
    <w:rsid w:val="0032362F"/>
    <w:rsid w:val="00323AE8"/>
    <w:rsid w:val="00332D75"/>
    <w:rsid w:val="00332DD0"/>
    <w:rsid w:val="00335ECB"/>
    <w:rsid w:val="00336725"/>
    <w:rsid w:val="00337350"/>
    <w:rsid w:val="00341E7B"/>
    <w:rsid w:val="0034371D"/>
    <w:rsid w:val="0034382D"/>
    <w:rsid w:val="00344D5E"/>
    <w:rsid w:val="0034714B"/>
    <w:rsid w:val="003511D4"/>
    <w:rsid w:val="00351787"/>
    <w:rsid w:val="0035305E"/>
    <w:rsid w:val="0035661D"/>
    <w:rsid w:val="00361AC2"/>
    <w:rsid w:val="00363791"/>
    <w:rsid w:val="00374236"/>
    <w:rsid w:val="00380E05"/>
    <w:rsid w:val="00381DD7"/>
    <w:rsid w:val="003820FD"/>
    <w:rsid w:val="00390186"/>
    <w:rsid w:val="003921F6"/>
    <w:rsid w:val="00394406"/>
    <w:rsid w:val="00395133"/>
    <w:rsid w:val="003A0EF9"/>
    <w:rsid w:val="003A0F2A"/>
    <w:rsid w:val="003A3D4C"/>
    <w:rsid w:val="003A59E2"/>
    <w:rsid w:val="003B1870"/>
    <w:rsid w:val="003B2A7D"/>
    <w:rsid w:val="003D39C2"/>
    <w:rsid w:val="003E0985"/>
    <w:rsid w:val="003F1C4C"/>
    <w:rsid w:val="003F1CC5"/>
    <w:rsid w:val="003F2500"/>
    <w:rsid w:val="003F4991"/>
    <w:rsid w:val="003F57F8"/>
    <w:rsid w:val="003F721D"/>
    <w:rsid w:val="004004A2"/>
    <w:rsid w:val="00402BEB"/>
    <w:rsid w:val="00404604"/>
    <w:rsid w:val="0040617F"/>
    <w:rsid w:val="00410215"/>
    <w:rsid w:val="00415853"/>
    <w:rsid w:val="00421AD3"/>
    <w:rsid w:val="004263CB"/>
    <w:rsid w:val="00426DDD"/>
    <w:rsid w:val="00437685"/>
    <w:rsid w:val="004417BF"/>
    <w:rsid w:val="00451295"/>
    <w:rsid w:val="0046299C"/>
    <w:rsid w:val="004634C9"/>
    <w:rsid w:val="00464172"/>
    <w:rsid w:val="00465000"/>
    <w:rsid w:val="004701D3"/>
    <w:rsid w:val="00470864"/>
    <w:rsid w:val="00471CA3"/>
    <w:rsid w:val="004728F3"/>
    <w:rsid w:val="004757A3"/>
    <w:rsid w:val="00475F0D"/>
    <w:rsid w:val="00476453"/>
    <w:rsid w:val="00476FCE"/>
    <w:rsid w:val="004812A3"/>
    <w:rsid w:val="0048153F"/>
    <w:rsid w:val="00484C3E"/>
    <w:rsid w:val="00487EC6"/>
    <w:rsid w:val="00492AB4"/>
    <w:rsid w:val="00497926"/>
    <w:rsid w:val="004A0B81"/>
    <w:rsid w:val="004A296B"/>
    <w:rsid w:val="004A621D"/>
    <w:rsid w:val="004B2433"/>
    <w:rsid w:val="004B3D4D"/>
    <w:rsid w:val="004B5908"/>
    <w:rsid w:val="004C04FB"/>
    <w:rsid w:val="004C33E4"/>
    <w:rsid w:val="004D14F8"/>
    <w:rsid w:val="004D4049"/>
    <w:rsid w:val="004D4F14"/>
    <w:rsid w:val="004D7B60"/>
    <w:rsid w:val="004E1E02"/>
    <w:rsid w:val="004E338F"/>
    <w:rsid w:val="004E3C0E"/>
    <w:rsid w:val="004E6328"/>
    <w:rsid w:val="004F0E0A"/>
    <w:rsid w:val="004F1436"/>
    <w:rsid w:val="004F1652"/>
    <w:rsid w:val="004F1FAC"/>
    <w:rsid w:val="004F444B"/>
    <w:rsid w:val="00501C0F"/>
    <w:rsid w:val="0050351B"/>
    <w:rsid w:val="00506A8F"/>
    <w:rsid w:val="00507D65"/>
    <w:rsid w:val="00510634"/>
    <w:rsid w:val="00512F4B"/>
    <w:rsid w:val="0051478E"/>
    <w:rsid w:val="00514912"/>
    <w:rsid w:val="00517930"/>
    <w:rsid w:val="00520A98"/>
    <w:rsid w:val="00523130"/>
    <w:rsid w:val="005271A5"/>
    <w:rsid w:val="0053253F"/>
    <w:rsid w:val="00533111"/>
    <w:rsid w:val="00533CF2"/>
    <w:rsid w:val="005342AA"/>
    <w:rsid w:val="00541D35"/>
    <w:rsid w:val="0054679B"/>
    <w:rsid w:val="005504C9"/>
    <w:rsid w:val="00555263"/>
    <w:rsid w:val="0055729F"/>
    <w:rsid w:val="005676C0"/>
    <w:rsid w:val="0057287B"/>
    <w:rsid w:val="00580661"/>
    <w:rsid w:val="00581804"/>
    <w:rsid w:val="0058183A"/>
    <w:rsid w:val="00585405"/>
    <w:rsid w:val="005873B1"/>
    <w:rsid w:val="0059391E"/>
    <w:rsid w:val="005A3476"/>
    <w:rsid w:val="005A6F8A"/>
    <w:rsid w:val="005B178D"/>
    <w:rsid w:val="005B2A19"/>
    <w:rsid w:val="005B320C"/>
    <w:rsid w:val="005B5100"/>
    <w:rsid w:val="005C0862"/>
    <w:rsid w:val="005C438E"/>
    <w:rsid w:val="005C4B3F"/>
    <w:rsid w:val="005C7F9E"/>
    <w:rsid w:val="005D1278"/>
    <w:rsid w:val="005D1558"/>
    <w:rsid w:val="005D26D9"/>
    <w:rsid w:val="005E0BB7"/>
    <w:rsid w:val="0061008A"/>
    <w:rsid w:val="00617579"/>
    <w:rsid w:val="00621276"/>
    <w:rsid w:val="00624FFF"/>
    <w:rsid w:val="006325E7"/>
    <w:rsid w:val="006350C0"/>
    <w:rsid w:val="0063627A"/>
    <w:rsid w:val="00643D69"/>
    <w:rsid w:val="00644E77"/>
    <w:rsid w:val="00647D91"/>
    <w:rsid w:val="00651A62"/>
    <w:rsid w:val="006522AD"/>
    <w:rsid w:val="00657A60"/>
    <w:rsid w:val="00666D34"/>
    <w:rsid w:val="006855A7"/>
    <w:rsid w:val="00692627"/>
    <w:rsid w:val="00692B0B"/>
    <w:rsid w:val="006943A6"/>
    <w:rsid w:val="0069715D"/>
    <w:rsid w:val="006A218F"/>
    <w:rsid w:val="006A317F"/>
    <w:rsid w:val="006A514C"/>
    <w:rsid w:val="006B0F59"/>
    <w:rsid w:val="006B1B89"/>
    <w:rsid w:val="006C4865"/>
    <w:rsid w:val="006C621E"/>
    <w:rsid w:val="006C6A02"/>
    <w:rsid w:val="006C7983"/>
    <w:rsid w:val="006E00FE"/>
    <w:rsid w:val="006E17E9"/>
    <w:rsid w:val="006F28DB"/>
    <w:rsid w:val="006F3417"/>
    <w:rsid w:val="006F4068"/>
    <w:rsid w:val="006F522F"/>
    <w:rsid w:val="006F6810"/>
    <w:rsid w:val="006F7099"/>
    <w:rsid w:val="007007B0"/>
    <w:rsid w:val="00710788"/>
    <w:rsid w:val="00710F60"/>
    <w:rsid w:val="00713128"/>
    <w:rsid w:val="00722CFC"/>
    <w:rsid w:val="007256FF"/>
    <w:rsid w:val="00734738"/>
    <w:rsid w:val="0073603D"/>
    <w:rsid w:val="00736D92"/>
    <w:rsid w:val="00740B5D"/>
    <w:rsid w:val="007414A0"/>
    <w:rsid w:val="00746AC1"/>
    <w:rsid w:val="00754146"/>
    <w:rsid w:val="00755CEE"/>
    <w:rsid w:val="0076291B"/>
    <w:rsid w:val="00765B49"/>
    <w:rsid w:val="00771DBD"/>
    <w:rsid w:val="00772376"/>
    <w:rsid w:val="00773C21"/>
    <w:rsid w:val="007A044E"/>
    <w:rsid w:val="007A6927"/>
    <w:rsid w:val="007B0EEB"/>
    <w:rsid w:val="007B278A"/>
    <w:rsid w:val="007B3068"/>
    <w:rsid w:val="007D2A20"/>
    <w:rsid w:val="007D3802"/>
    <w:rsid w:val="007E0147"/>
    <w:rsid w:val="007E2716"/>
    <w:rsid w:val="007E3D3F"/>
    <w:rsid w:val="007E4510"/>
    <w:rsid w:val="007E5719"/>
    <w:rsid w:val="008056A1"/>
    <w:rsid w:val="00806065"/>
    <w:rsid w:val="00806B85"/>
    <w:rsid w:val="0081123F"/>
    <w:rsid w:val="00813A96"/>
    <w:rsid w:val="008233B2"/>
    <w:rsid w:val="00824D69"/>
    <w:rsid w:val="00827462"/>
    <w:rsid w:val="00827F9F"/>
    <w:rsid w:val="00831F05"/>
    <w:rsid w:val="0083304E"/>
    <w:rsid w:val="00847217"/>
    <w:rsid w:val="00856004"/>
    <w:rsid w:val="00857AAE"/>
    <w:rsid w:val="008625CD"/>
    <w:rsid w:val="0087520F"/>
    <w:rsid w:val="008832BA"/>
    <w:rsid w:val="0088331B"/>
    <w:rsid w:val="00886778"/>
    <w:rsid w:val="008903F5"/>
    <w:rsid w:val="00890C5B"/>
    <w:rsid w:val="00894C12"/>
    <w:rsid w:val="00896CB8"/>
    <w:rsid w:val="008A6E56"/>
    <w:rsid w:val="008D615C"/>
    <w:rsid w:val="008E1066"/>
    <w:rsid w:val="008E1C33"/>
    <w:rsid w:val="00901985"/>
    <w:rsid w:val="00906717"/>
    <w:rsid w:val="00911D02"/>
    <w:rsid w:val="00915221"/>
    <w:rsid w:val="009235F4"/>
    <w:rsid w:val="0092504C"/>
    <w:rsid w:val="0092631A"/>
    <w:rsid w:val="00932B44"/>
    <w:rsid w:val="00935F75"/>
    <w:rsid w:val="00940CF0"/>
    <w:rsid w:val="00943E1D"/>
    <w:rsid w:val="00944B63"/>
    <w:rsid w:val="009473AD"/>
    <w:rsid w:val="00950575"/>
    <w:rsid w:val="00953F2F"/>
    <w:rsid w:val="00955B5A"/>
    <w:rsid w:val="009661BE"/>
    <w:rsid w:val="00972D25"/>
    <w:rsid w:val="0097323F"/>
    <w:rsid w:val="0097558C"/>
    <w:rsid w:val="009804FE"/>
    <w:rsid w:val="00982237"/>
    <w:rsid w:val="00982BD3"/>
    <w:rsid w:val="00985A59"/>
    <w:rsid w:val="009964D1"/>
    <w:rsid w:val="009968E0"/>
    <w:rsid w:val="009A1DFD"/>
    <w:rsid w:val="009B29BC"/>
    <w:rsid w:val="009B5289"/>
    <w:rsid w:val="009B5967"/>
    <w:rsid w:val="009B79C2"/>
    <w:rsid w:val="009C1679"/>
    <w:rsid w:val="009C31D5"/>
    <w:rsid w:val="009C5413"/>
    <w:rsid w:val="009C5698"/>
    <w:rsid w:val="009C5830"/>
    <w:rsid w:val="009C66C4"/>
    <w:rsid w:val="009D04F3"/>
    <w:rsid w:val="009D77D6"/>
    <w:rsid w:val="009E49BA"/>
    <w:rsid w:val="009F03B0"/>
    <w:rsid w:val="009F6C0C"/>
    <w:rsid w:val="00A0352A"/>
    <w:rsid w:val="00A03A13"/>
    <w:rsid w:val="00A06286"/>
    <w:rsid w:val="00A0660D"/>
    <w:rsid w:val="00A06A85"/>
    <w:rsid w:val="00A074EB"/>
    <w:rsid w:val="00A11BBE"/>
    <w:rsid w:val="00A2027A"/>
    <w:rsid w:val="00A23DFA"/>
    <w:rsid w:val="00A2643E"/>
    <w:rsid w:val="00A2700F"/>
    <w:rsid w:val="00A30183"/>
    <w:rsid w:val="00A30E7B"/>
    <w:rsid w:val="00A34E9B"/>
    <w:rsid w:val="00A37780"/>
    <w:rsid w:val="00A3788B"/>
    <w:rsid w:val="00A40315"/>
    <w:rsid w:val="00A443BF"/>
    <w:rsid w:val="00A47DD2"/>
    <w:rsid w:val="00A51763"/>
    <w:rsid w:val="00A550D6"/>
    <w:rsid w:val="00A71133"/>
    <w:rsid w:val="00A765A2"/>
    <w:rsid w:val="00A81A3E"/>
    <w:rsid w:val="00A81F71"/>
    <w:rsid w:val="00A82187"/>
    <w:rsid w:val="00A83DA8"/>
    <w:rsid w:val="00A84E45"/>
    <w:rsid w:val="00A87ACF"/>
    <w:rsid w:val="00A908BD"/>
    <w:rsid w:val="00AA0DFB"/>
    <w:rsid w:val="00AA2B0C"/>
    <w:rsid w:val="00AB2579"/>
    <w:rsid w:val="00AB342F"/>
    <w:rsid w:val="00AB410D"/>
    <w:rsid w:val="00AC16DE"/>
    <w:rsid w:val="00AC1E03"/>
    <w:rsid w:val="00AD445E"/>
    <w:rsid w:val="00AD656E"/>
    <w:rsid w:val="00AE2D68"/>
    <w:rsid w:val="00AE45C5"/>
    <w:rsid w:val="00AE582B"/>
    <w:rsid w:val="00AE7A2E"/>
    <w:rsid w:val="00AF0433"/>
    <w:rsid w:val="00B009DC"/>
    <w:rsid w:val="00B03515"/>
    <w:rsid w:val="00B045F8"/>
    <w:rsid w:val="00B064ED"/>
    <w:rsid w:val="00B17B59"/>
    <w:rsid w:val="00B20236"/>
    <w:rsid w:val="00B23B5D"/>
    <w:rsid w:val="00B317D8"/>
    <w:rsid w:val="00B31C37"/>
    <w:rsid w:val="00B370F7"/>
    <w:rsid w:val="00B435E4"/>
    <w:rsid w:val="00B4450C"/>
    <w:rsid w:val="00B46E5F"/>
    <w:rsid w:val="00B5574D"/>
    <w:rsid w:val="00B576A7"/>
    <w:rsid w:val="00B61434"/>
    <w:rsid w:val="00B6272B"/>
    <w:rsid w:val="00B63B7C"/>
    <w:rsid w:val="00B65D07"/>
    <w:rsid w:val="00B712CE"/>
    <w:rsid w:val="00B77EF4"/>
    <w:rsid w:val="00B80D58"/>
    <w:rsid w:val="00B80EEA"/>
    <w:rsid w:val="00B82E35"/>
    <w:rsid w:val="00B83014"/>
    <w:rsid w:val="00B9089C"/>
    <w:rsid w:val="00B9734A"/>
    <w:rsid w:val="00B97863"/>
    <w:rsid w:val="00BB135B"/>
    <w:rsid w:val="00BB7E93"/>
    <w:rsid w:val="00BC2069"/>
    <w:rsid w:val="00BC28F8"/>
    <w:rsid w:val="00BC34EC"/>
    <w:rsid w:val="00BC4718"/>
    <w:rsid w:val="00BD08EE"/>
    <w:rsid w:val="00BD1094"/>
    <w:rsid w:val="00BD6ADE"/>
    <w:rsid w:val="00BD7EDD"/>
    <w:rsid w:val="00BE70BE"/>
    <w:rsid w:val="00BF1405"/>
    <w:rsid w:val="00BF6A9B"/>
    <w:rsid w:val="00C0335F"/>
    <w:rsid w:val="00C072D6"/>
    <w:rsid w:val="00C12905"/>
    <w:rsid w:val="00C14447"/>
    <w:rsid w:val="00C20CE6"/>
    <w:rsid w:val="00C20D8B"/>
    <w:rsid w:val="00C2601D"/>
    <w:rsid w:val="00C32B67"/>
    <w:rsid w:val="00C33781"/>
    <w:rsid w:val="00C34049"/>
    <w:rsid w:val="00C34901"/>
    <w:rsid w:val="00C3798F"/>
    <w:rsid w:val="00C411BC"/>
    <w:rsid w:val="00C517B8"/>
    <w:rsid w:val="00C53A3F"/>
    <w:rsid w:val="00C6430C"/>
    <w:rsid w:val="00C734F3"/>
    <w:rsid w:val="00C85C2C"/>
    <w:rsid w:val="00C86C9D"/>
    <w:rsid w:val="00C87500"/>
    <w:rsid w:val="00C94378"/>
    <w:rsid w:val="00C95C44"/>
    <w:rsid w:val="00CA0CD4"/>
    <w:rsid w:val="00CA1185"/>
    <w:rsid w:val="00CA1C83"/>
    <w:rsid w:val="00CA52EE"/>
    <w:rsid w:val="00CC3564"/>
    <w:rsid w:val="00CC4AED"/>
    <w:rsid w:val="00CC6CB0"/>
    <w:rsid w:val="00CC798F"/>
    <w:rsid w:val="00CD115E"/>
    <w:rsid w:val="00CD11DA"/>
    <w:rsid w:val="00CD1F7B"/>
    <w:rsid w:val="00CD2250"/>
    <w:rsid w:val="00CD4B20"/>
    <w:rsid w:val="00CD6AAF"/>
    <w:rsid w:val="00CD70DA"/>
    <w:rsid w:val="00CE207F"/>
    <w:rsid w:val="00CF529E"/>
    <w:rsid w:val="00D00A0D"/>
    <w:rsid w:val="00D12639"/>
    <w:rsid w:val="00D13815"/>
    <w:rsid w:val="00D153A4"/>
    <w:rsid w:val="00D16F72"/>
    <w:rsid w:val="00D170EA"/>
    <w:rsid w:val="00D17E45"/>
    <w:rsid w:val="00D2332B"/>
    <w:rsid w:val="00D25BFC"/>
    <w:rsid w:val="00D33851"/>
    <w:rsid w:val="00D33FFE"/>
    <w:rsid w:val="00D355A0"/>
    <w:rsid w:val="00D415A7"/>
    <w:rsid w:val="00D445FC"/>
    <w:rsid w:val="00D4714F"/>
    <w:rsid w:val="00D54BC5"/>
    <w:rsid w:val="00D56845"/>
    <w:rsid w:val="00D614E4"/>
    <w:rsid w:val="00D74368"/>
    <w:rsid w:val="00D7532A"/>
    <w:rsid w:val="00D75850"/>
    <w:rsid w:val="00D9004F"/>
    <w:rsid w:val="00D9610E"/>
    <w:rsid w:val="00DA021A"/>
    <w:rsid w:val="00DA635F"/>
    <w:rsid w:val="00DB2CEC"/>
    <w:rsid w:val="00DB3CD6"/>
    <w:rsid w:val="00DB41DF"/>
    <w:rsid w:val="00DB5CD1"/>
    <w:rsid w:val="00DB74F6"/>
    <w:rsid w:val="00DC1F4D"/>
    <w:rsid w:val="00DC38C0"/>
    <w:rsid w:val="00DC40F3"/>
    <w:rsid w:val="00DC46A4"/>
    <w:rsid w:val="00DC4E68"/>
    <w:rsid w:val="00DC510D"/>
    <w:rsid w:val="00DC6A9D"/>
    <w:rsid w:val="00DC6FBF"/>
    <w:rsid w:val="00DD39F8"/>
    <w:rsid w:val="00DD3C77"/>
    <w:rsid w:val="00DE0308"/>
    <w:rsid w:val="00DE6267"/>
    <w:rsid w:val="00DF3EC0"/>
    <w:rsid w:val="00DF3F21"/>
    <w:rsid w:val="00DF45F6"/>
    <w:rsid w:val="00DF45FC"/>
    <w:rsid w:val="00E017C0"/>
    <w:rsid w:val="00E0419F"/>
    <w:rsid w:val="00E053A9"/>
    <w:rsid w:val="00E05A34"/>
    <w:rsid w:val="00E12FC8"/>
    <w:rsid w:val="00E178B2"/>
    <w:rsid w:val="00E17EC6"/>
    <w:rsid w:val="00E230B8"/>
    <w:rsid w:val="00E23192"/>
    <w:rsid w:val="00E241E5"/>
    <w:rsid w:val="00E24D96"/>
    <w:rsid w:val="00E26FAC"/>
    <w:rsid w:val="00E356F1"/>
    <w:rsid w:val="00E35DC1"/>
    <w:rsid w:val="00E360F8"/>
    <w:rsid w:val="00E50125"/>
    <w:rsid w:val="00E640A5"/>
    <w:rsid w:val="00E65E82"/>
    <w:rsid w:val="00E71BB7"/>
    <w:rsid w:val="00E76B74"/>
    <w:rsid w:val="00E76CFE"/>
    <w:rsid w:val="00E82BC1"/>
    <w:rsid w:val="00E84358"/>
    <w:rsid w:val="00E84D0A"/>
    <w:rsid w:val="00E84DE9"/>
    <w:rsid w:val="00E903E7"/>
    <w:rsid w:val="00EA2635"/>
    <w:rsid w:val="00EA43DE"/>
    <w:rsid w:val="00EA602F"/>
    <w:rsid w:val="00EA7DF3"/>
    <w:rsid w:val="00EB1086"/>
    <w:rsid w:val="00EB19F9"/>
    <w:rsid w:val="00EB2076"/>
    <w:rsid w:val="00EB304F"/>
    <w:rsid w:val="00EC152E"/>
    <w:rsid w:val="00EC240C"/>
    <w:rsid w:val="00EC2E5D"/>
    <w:rsid w:val="00EC6C11"/>
    <w:rsid w:val="00EC7338"/>
    <w:rsid w:val="00ED25C0"/>
    <w:rsid w:val="00ED3F1F"/>
    <w:rsid w:val="00EE0374"/>
    <w:rsid w:val="00EE0A72"/>
    <w:rsid w:val="00EE27B2"/>
    <w:rsid w:val="00EE6F90"/>
    <w:rsid w:val="00EF006C"/>
    <w:rsid w:val="00F0333B"/>
    <w:rsid w:val="00F10681"/>
    <w:rsid w:val="00F10CDD"/>
    <w:rsid w:val="00F1374C"/>
    <w:rsid w:val="00F244A9"/>
    <w:rsid w:val="00F25479"/>
    <w:rsid w:val="00F27090"/>
    <w:rsid w:val="00F270A5"/>
    <w:rsid w:val="00F320E5"/>
    <w:rsid w:val="00F33ACB"/>
    <w:rsid w:val="00F412AE"/>
    <w:rsid w:val="00F42E7A"/>
    <w:rsid w:val="00F445E9"/>
    <w:rsid w:val="00F46F01"/>
    <w:rsid w:val="00F5091E"/>
    <w:rsid w:val="00F607D7"/>
    <w:rsid w:val="00F6593A"/>
    <w:rsid w:val="00F663F6"/>
    <w:rsid w:val="00F679BB"/>
    <w:rsid w:val="00F7298D"/>
    <w:rsid w:val="00F84A83"/>
    <w:rsid w:val="00F87D41"/>
    <w:rsid w:val="00F92D36"/>
    <w:rsid w:val="00F97947"/>
    <w:rsid w:val="00FA0C0A"/>
    <w:rsid w:val="00FA29AD"/>
    <w:rsid w:val="00FA2AB0"/>
    <w:rsid w:val="00FA47BE"/>
    <w:rsid w:val="00FB4871"/>
    <w:rsid w:val="00FB7128"/>
    <w:rsid w:val="00FC7300"/>
    <w:rsid w:val="00FD156F"/>
    <w:rsid w:val="00FD47D0"/>
    <w:rsid w:val="00FF1A07"/>
    <w:rsid w:val="03448817"/>
    <w:rsid w:val="0515C368"/>
    <w:rsid w:val="0542F3BB"/>
    <w:rsid w:val="06F50DB6"/>
    <w:rsid w:val="075196F8"/>
    <w:rsid w:val="07C658F1"/>
    <w:rsid w:val="091DFB8C"/>
    <w:rsid w:val="0A7C8E8E"/>
    <w:rsid w:val="0CDCA4DB"/>
    <w:rsid w:val="0D32C42B"/>
    <w:rsid w:val="0D33FB3A"/>
    <w:rsid w:val="0EDDFB89"/>
    <w:rsid w:val="108CE034"/>
    <w:rsid w:val="112867E3"/>
    <w:rsid w:val="171AA6EA"/>
    <w:rsid w:val="1805E4DF"/>
    <w:rsid w:val="1C3C5540"/>
    <w:rsid w:val="1FDA9461"/>
    <w:rsid w:val="220D4FF4"/>
    <w:rsid w:val="2987ADB3"/>
    <w:rsid w:val="2B1D906E"/>
    <w:rsid w:val="2D393618"/>
    <w:rsid w:val="31F04E13"/>
    <w:rsid w:val="33DEF63B"/>
    <w:rsid w:val="34134F72"/>
    <w:rsid w:val="39CE4815"/>
    <w:rsid w:val="3F2425ED"/>
    <w:rsid w:val="3FC870CB"/>
    <w:rsid w:val="42204442"/>
    <w:rsid w:val="4301253C"/>
    <w:rsid w:val="43628797"/>
    <w:rsid w:val="49E8B425"/>
    <w:rsid w:val="4A21686B"/>
    <w:rsid w:val="4A47764B"/>
    <w:rsid w:val="4BD7A95C"/>
    <w:rsid w:val="4BF43D19"/>
    <w:rsid w:val="4DAEBEBC"/>
    <w:rsid w:val="4E6FA675"/>
    <w:rsid w:val="4E9A9429"/>
    <w:rsid w:val="50767ADB"/>
    <w:rsid w:val="50E65F7E"/>
    <w:rsid w:val="52822FDF"/>
    <w:rsid w:val="541E0040"/>
    <w:rsid w:val="56C570C5"/>
    <w:rsid w:val="57BB30E9"/>
    <w:rsid w:val="5A8D41C4"/>
    <w:rsid w:val="5ED70E6F"/>
    <w:rsid w:val="6021BE5D"/>
    <w:rsid w:val="66533B43"/>
    <w:rsid w:val="6795CD4D"/>
    <w:rsid w:val="68465F62"/>
    <w:rsid w:val="6B60F348"/>
    <w:rsid w:val="6D3ACA2C"/>
    <w:rsid w:val="71C1BC7C"/>
    <w:rsid w:val="730A1D9E"/>
    <w:rsid w:val="73DD6226"/>
    <w:rsid w:val="78CE3169"/>
    <w:rsid w:val="79C9EAF9"/>
    <w:rsid w:val="7E13BA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181A0A"/>
  <w15:chartTrackingRefBased/>
  <w15:docId w15:val="{321AAFB2-C670-41E8-9D15-6B5F73994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B0C"/>
    <w:pPr>
      <w:overflowPunct w:val="0"/>
      <w:autoSpaceDE w:val="0"/>
      <w:autoSpaceDN w:val="0"/>
      <w:adjustRightInd w:val="0"/>
      <w:jc w:val="both"/>
      <w:textAlignment w:val="baseline"/>
    </w:pPr>
    <w:rPr>
      <w:rFonts w:ascii="Arial" w:hAnsi="Arial"/>
      <w:lang w:eastAsia="en-US"/>
    </w:rPr>
  </w:style>
  <w:style w:type="paragraph" w:styleId="Heading3">
    <w:name w:val="heading 3"/>
    <w:basedOn w:val="Normal"/>
    <w:next w:val="Normal"/>
    <w:link w:val="Heading3Char"/>
    <w:uiPriority w:val="9"/>
    <w:semiHidden/>
    <w:unhideWhenUsed/>
    <w:qFormat/>
    <w:rsid w:val="00297D9F"/>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qFormat/>
    <w:rsid w:val="00F0333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00FE"/>
    <w:pPr>
      <w:tabs>
        <w:tab w:val="center" w:pos="4153"/>
        <w:tab w:val="right" w:pos="8306"/>
      </w:tabs>
    </w:pPr>
  </w:style>
  <w:style w:type="paragraph" w:styleId="Footer">
    <w:name w:val="footer"/>
    <w:basedOn w:val="Normal"/>
    <w:link w:val="FooterChar"/>
    <w:uiPriority w:val="99"/>
    <w:rsid w:val="006E00FE"/>
    <w:pPr>
      <w:tabs>
        <w:tab w:val="center" w:pos="4153"/>
        <w:tab w:val="right" w:pos="8306"/>
      </w:tabs>
    </w:pPr>
  </w:style>
  <w:style w:type="table" w:styleId="TableGrid">
    <w:name w:val="Table Grid"/>
    <w:basedOn w:val="TableNormal"/>
    <w:rsid w:val="00FA2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SheetText">
    <w:name w:val="Data Sheet Text"/>
    <w:basedOn w:val="Normal"/>
    <w:link w:val="DataSheetTextChar"/>
    <w:rsid w:val="00F0333B"/>
    <w:pPr>
      <w:overflowPunct/>
      <w:autoSpaceDE/>
      <w:autoSpaceDN/>
      <w:adjustRightInd/>
      <w:spacing w:line="240" w:lineRule="exact"/>
      <w:jc w:val="left"/>
      <w:textAlignment w:val="auto"/>
    </w:pPr>
    <w:rPr>
      <w:rFonts w:ascii="Verdana" w:hAnsi="Verdana"/>
      <w:sz w:val="18"/>
      <w:lang w:val="en-US"/>
    </w:rPr>
  </w:style>
  <w:style w:type="character" w:customStyle="1" w:styleId="DataSheetTextChar">
    <w:name w:val="Data Sheet Text Char"/>
    <w:link w:val="DataSheetText"/>
    <w:rsid w:val="00F0333B"/>
    <w:rPr>
      <w:rFonts w:ascii="Verdana" w:hAnsi="Verdana"/>
      <w:sz w:val="18"/>
      <w:lang w:val="en-US" w:eastAsia="en-US" w:bidi="ar-SA"/>
    </w:rPr>
  </w:style>
  <w:style w:type="paragraph" w:customStyle="1" w:styleId="DataSheetTextBold">
    <w:name w:val="Data Sheet Text Bold"/>
    <w:basedOn w:val="DataSheetText"/>
    <w:rsid w:val="00F0333B"/>
    <w:rPr>
      <w:b/>
      <w:szCs w:val="18"/>
    </w:rPr>
  </w:style>
  <w:style w:type="paragraph" w:customStyle="1" w:styleId="DataSheetItalics">
    <w:name w:val="Data Sheet Italics"/>
    <w:basedOn w:val="DataSheetText"/>
    <w:link w:val="DataSheetItalicsChar"/>
    <w:rsid w:val="00F0333B"/>
    <w:rPr>
      <w:i/>
      <w:iCs/>
    </w:rPr>
  </w:style>
  <w:style w:type="character" w:customStyle="1" w:styleId="DataSheetItalicsChar">
    <w:name w:val="Data Sheet Italics Char"/>
    <w:link w:val="DataSheetItalics"/>
    <w:rsid w:val="00F0333B"/>
    <w:rPr>
      <w:rFonts w:ascii="Verdana" w:hAnsi="Verdana"/>
      <w:i/>
      <w:iCs/>
      <w:sz w:val="18"/>
      <w:lang w:val="en-US" w:eastAsia="en-US" w:bidi="ar-SA"/>
    </w:rPr>
  </w:style>
  <w:style w:type="paragraph" w:customStyle="1" w:styleId="DataSheetHeadings">
    <w:name w:val="Data Sheet Headings"/>
    <w:basedOn w:val="Heading4"/>
    <w:rsid w:val="00F0333B"/>
    <w:pPr>
      <w:overflowPunct/>
      <w:autoSpaceDE/>
      <w:autoSpaceDN/>
      <w:adjustRightInd/>
      <w:spacing w:before="120" w:after="80" w:line="260" w:lineRule="exact"/>
      <w:ind w:left="822" w:hanging="822"/>
      <w:jc w:val="left"/>
      <w:textAlignment w:val="auto"/>
    </w:pPr>
    <w:rPr>
      <w:rFonts w:ascii="Verdana" w:hAnsi="Verdana"/>
      <w:sz w:val="18"/>
      <w:szCs w:val="20"/>
      <w:lang w:val="en-US"/>
    </w:rPr>
  </w:style>
  <w:style w:type="character" w:styleId="PageNumber">
    <w:name w:val="page number"/>
    <w:basedOn w:val="DefaultParagraphFont"/>
    <w:rsid w:val="00F0333B"/>
  </w:style>
  <w:style w:type="character" w:customStyle="1" w:styleId="FooterChar">
    <w:name w:val="Footer Char"/>
    <w:link w:val="Footer"/>
    <w:uiPriority w:val="99"/>
    <w:rsid w:val="00856004"/>
    <w:rPr>
      <w:sz w:val="24"/>
      <w:lang w:eastAsia="en-US"/>
    </w:rPr>
  </w:style>
  <w:style w:type="paragraph" w:styleId="Caption">
    <w:name w:val="caption"/>
    <w:aliases w:val="Caption for photos,figures &amp; diagrams"/>
    <w:basedOn w:val="Normal"/>
    <w:next w:val="Normal"/>
    <w:uiPriority w:val="35"/>
    <w:qFormat/>
    <w:rsid w:val="00E0419F"/>
    <w:pPr>
      <w:overflowPunct/>
      <w:autoSpaceDE/>
      <w:autoSpaceDN/>
      <w:adjustRightInd/>
      <w:spacing w:after="120"/>
      <w:ind w:left="1134"/>
      <w:jc w:val="left"/>
      <w:textAlignment w:val="auto"/>
    </w:pPr>
    <w:rPr>
      <w:rFonts w:ascii="Garamond" w:hAnsi="Garamond" w:cs="Arial"/>
      <w:i/>
      <w:szCs w:val="22"/>
      <w:lang w:eastAsia="en-AU"/>
    </w:rPr>
  </w:style>
  <w:style w:type="character" w:styleId="CommentReference">
    <w:name w:val="annotation reference"/>
    <w:uiPriority w:val="99"/>
    <w:semiHidden/>
    <w:unhideWhenUsed/>
    <w:rsid w:val="00A87ACF"/>
    <w:rPr>
      <w:sz w:val="16"/>
      <w:szCs w:val="16"/>
    </w:rPr>
  </w:style>
  <w:style w:type="paragraph" w:styleId="CommentText">
    <w:name w:val="annotation text"/>
    <w:basedOn w:val="Normal"/>
    <w:link w:val="CommentTextChar"/>
    <w:uiPriority w:val="99"/>
    <w:unhideWhenUsed/>
    <w:rsid w:val="00A87ACF"/>
  </w:style>
  <w:style w:type="character" w:customStyle="1" w:styleId="CommentTextChar">
    <w:name w:val="Comment Text Char"/>
    <w:link w:val="CommentText"/>
    <w:uiPriority w:val="99"/>
    <w:rsid w:val="00A87ACF"/>
    <w:rPr>
      <w:lang w:val="en-AU"/>
    </w:rPr>
  </w:style>
  <w:style w:type="paragraph" w:styleId="CommentSubject">
    <w:name w:val="annotation subject"/>
    <w:basedOn w:val="CommentText"/>
    <w:next w:val="CommentText"/>
    <w:link w:val="CommentSubjectChar"/>
    <w:uiPriority w:val="99"/>
    <w:semiHidden/>
    <w:unhideWhenUsed/>
    <w:rsid w:val="00A87ACF"/>
    <w:rPr>
      <w:b/>
      <w:bCs/>
    </w:rPr>
  </w:style>
  <w:style w:type="character" w:customStyle="1" w:styleId="CommentSubjectChar">
    <w:name w:val="Comment Subject Char"/>
    <w:link w:val="CommentSubject"/>
    <w:uiPriority w:val="99"/>
    <w:semiHidden/>
    <w:rsid w:val="00A87ACF"/>
    <w:rPr>
      <w:b/>
      <w:bCs/>
      <w:lang w:val="en-AU"/>
    </w:rPr>
  </w:style>
  <w:style w:type="paragraph" w:styleId="BalloonText">
    <w:name w:val="Balloon Text"/>
    <w:basedOn w:val="Normal"/>
    <w:link w:val="BalloonTextChar"/>
    <w:uiPriority w:val="99"/>
    <w:semiHidden/>
    <w:unhideWhenUsed/>
    <w:rsid w:val="00A87ACF"/>
    <w:rPr>
      <w:rFonts w:ascii="Segoe UI" w:hAnsi="Segoe UI" w:cs="Segoe UI"/>
      <w:sz w:val="18"/>
      <w:szCs w:val="18"/>
    </w:rPr>
  </w:style>
  <w:style w:type="character" w:customStyle="1" w:styleId="BalloonTextChar">
    <w:name w:val="Balloon Text Char"/>
    <w:link w:val="BalloonText"/>
    <w:uiPriority w:val="99"/>
    <w:semiHidden/>
    <w:rsid w:val="00A87ACF"/>
    <w:rPr>
      <w:rFonts w:ascii="Segoe UI" w:hAnsi="Segoe UI" w:cs="Segoe UI"/>
      <w:sz w:val="18"/>
      <w:szCs w:val="18"/>
      <w:lang w:val="en-AU"/>
    </w:rPr>
  </w:style>
  <w:style w:type="paragraph" w:customStyle="1" w:styleId="Default">
    <w:name w:val="Default"/>
    <w:rsid w:val="0034382D"/>
    <w:pPr>
      <w:autoSpaceDE w:val="0"/>
      <w:autoSpaceDN w:val="0"/>
      <w:adjustRightInd w:val="0"/>
    </w:pPr>
    <w:rPr>
      <w:rFonts w:ascii="Arial" w:hAnsi="Arial" w:cs="Arial"/>
      <w:color w:val="000000"/>
      <w:sz w:val="24"/>
      <w:szCs w:val="24"/>
      <w:lang w:val="en-US"/>
    </w:rPr>
  </w:style>
  <w:style w:type="paragraph" w:styleId="FootnoteText">
    <w:name w:val="footnote text"/>
    <w:basedOn w:val="Normal"/>
    <w:link w:val="FootnoteTextChar"/>
    <w:uiPriority w:val="99"/>
    <w:semiHidden/>
    <w:unhideWhenUsed/>
    <w:rsid w:val="00F445E9"/>
  </w:style>
  <w:style w:type="character" w:customStyle="1" w:styleId="FootnoteTextChar">
    <w:name w:val="Footnote Text Char"/>
    <w:basedOn w:val="DefaultParagraphFont"/>
    <w:link w:val="FootnoteText"/>
    <w:uiPriority w:val="99"/>
    <w:semiHidden/>
    <w:rsid w:val="00F445E9"/>
    <w:rPr>
      <w:lang w:eastAsia="en-US"/>
    </w:rPr>
  </w:style>
  <w:style w:type="character" w:styleId="FootnoteReference">
    <w:name w:val="footnote reference"/>
    <w:basedOn w:val="DefaultParagraphFont"/>
    <w:uiPriority w:val="99"/>
    <w:semiHidden/>
    <w:unhideWhenUsed/>
    <w:rsid w:val="00F445E9"/>
    <w:rPr>
      <w:vertAlign w:val="superscript"/>
    </w:rPr>
  </w:style>
  <w:style w:type="character" w:customStyle="1" w:styleId="Heading3Char">
    <w:name w:val="Heading 3 Char"/>
    <w:basedOn w:val="DefaultParagraphFont"/>
    <w:link w:val="Heading3"/>
    <w:uiPriority w:val="9"/>
    <w:semiHidden/>
    <w:rsid w:val="00297D9F"/>
    <w:rPr>
      <w:rFonts w:asciiTheme="majorHAnsi" w:eastAsiaTheme="majorEastAsia" w:hAnsiTheme="majorHAnsi" w:cstheme="majorBidi"/>
      <w:color w:val="1F4D78" w:themeColor="accent1" w:themeShade="7F"/>
      <w:sz w:val="24"/>
      <w:szCs w:val="24"/>
      <w:lang w:eastAsia="en-US"/>
    </w:rPr>
  </w:style>
  <w:style w:type="character" w:styleId="Hyperlink">
    <w:name w:val="Hyperlink"/>
    <w:basedOn w:val="DefaultParagraphFont"/>
    <w:uiPriority w:val="99"/>
    <w:unhideWhenUsed/>
    <w:rsid w:val="00297D9F"/>
    <w:rPr>
      <w:color w:val="0000FF"/>
      <w:u w:val="single"/>
    </w:rPr>
  </w:style>
  <w:style w:type="character" w:customStyle="1" w:styleId="apple-converted-space">
    <w:name w:val="apple-converted-space"/>
    <w:basedOn w:val="DefaultParagraphFont"/>
    <w:rsid w:val="00297D9F"/>
  </w:style>
  <w:style w:type="character" w:customStyle="1" w:styleId="style-scope">
    <w:name w:val="style-scope"/>
    <w:basedOn w:val="DefaultParagraphFont"/>
    <w:rsid w:val="00297D9F"/>
  </w:style>
  <w:style w:type="paragraph" w:styleId="NormalWeb">
    <w:name w:val="Normal (Web)"/>
    <w:basedOn w:val="Normal"/>
    <w:uiPriority w:val="99"/>
    <w:semiHidden/>
    <w:unhideWhenUsed/>
    <w:rsid w:val="00297D9F"/>
    <w:pPr>
      <w:overflowPunct/>
      <w:autoSpaceDE/>
      <w:autoSpaceDN/>
      <w:adjustRightInd/>
      <w:spacing w:before="100" w:beforeAutospacing="1" w:after="100" w:afterAutospacing="1"/>
      <w:jc w:val="left"/>
      <w:textAlignment w:val="auto"/>
    </w:pPr>
    <w:rPr>
      <w:szCs w:val="24"/>
      <w:lang w:val="en-US"/>
    </w:rPr>
  </w:style>
  <w:style w:type="paragraph" w:styleId="Quote">
    <w:name w:val="Quote"/>
    <w:basedOn w:val="Normal"/>
    <w:next w:val="Normal"/>
    <w:link w:val="QuoteChar"/>
    <w:autoRedefine/>
    <w:uiPriority w:val="73"/>
    <w:qFormat/>
    <w:rsid w:val="001D272A"/>
    <w:pPr>
      <w:ind w:left="720"/>
    </w:pPr>
    <w:rPr>
      <w:i/>
      <w:iCs/>
      <w:color w:val="000000" w:themeColor="text1"/>
      <w:sz w:val="21"/>
    </w:rPr>
  </w:style>
  <w:style w:type="character" w:customStyle="1" w:styleId="QuoteChar">
    <w:name w:val="Quote Char"/>
    <w:basedOn w:val="DefaultParagraphFont"/>
    <w:link w:val="Quote"/>
    <w:uiPriority w:val="73"/>
    <w:rsid w:val="001D272A"/>
    <w:rPr>
      <w:rFonts w:ascii="Arial" w:hAnsi="Arial"/>
      <w:i/>
      <w:iCs/>
      <w:color w:val="000000" w:themeColor="text1"/>
      <w:sz w:val="21"/>
      <w:lang w:eastAsia="en-US"/>
    </w:rPr>
  </w:style>
  <w:style w:type="character" w:customStyle="1" w:styleId="UnresolvedMention">
    <w:name w:val="Unresolved Mention"/>
    <w:basedOn w:val="DefaultParagraphFont"/>
    <w:uiPriority w:val="99"/>
    <w:semiHidden/>
    <w:unhideWhenUsed/>
    <w:rsid w:val="00901985"/>
    <w:rPr>
      <w:color w:val="808080"/>
      <w:shd w:val="clear" w:color="auto" w:fill="E6E6E6"/>
    </w:rPr>
  </w:style>
  <w:style w:type="paragraph" w:styleId="BodyText">
    <w:name w:val="Body Text"/>
    <w:basedOn w:val="Normal"/>
    <w:link w:val="BodyTextChar"/>
    <w:uiPriority w:val="1"/>
    <w:qFormat/>
    <w:rsid w:val="00361AC2"/>
    <w:pPr>
      <w:widowControl w:val="0"/>
      <w:overflowPunct/>
      <w:adjustRightInd/>
      <w:jc w:val="left"/>
      <w:textAlignment w:val="auto"/>
    </w:pPr>
    <w:rPr>
      <w:rFonts w:eastAsia="Arial" w:cs="Arial"/>
      <w:lang w:val="en-US"/>
    </w:rPr>
  </w:style>
  <w:style w:type="character" w:customStyle="1" w:styleId="BodyTextChar">
    <w:name w:val="Body Text Char"/>
    <w:basedOn w:val="DefaultParagraphFont"/>
    <w:link w:val="BodyText"/>
    <w:uiPriority w:val="1"/>
    <w:rsid w:val="00361AC2"/>
    <w:rPr>
      <w:rFonts w:ascii="Arial" w:eastAsia="Arial" w:hAnsi="Arial" w:cs="Arial"/>
      <w:lang w:val="en-US" w:eastAsia="en-US"/>
    </w:rPr>
  </w:style>
  <w:style w:type="character" w:styleId="Emphasis">
    <w:name w:val="Emphasis"/>
    <w:basedOn w:val="DefaultParagraphFont"/>
    <w:uiPriority w:val="20"/>
    <w:qFormat/>
    <w:rsid w:val="0012018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076624">
      <w:bodyDiv w:val="1"/>
      <w:marLeft w:val="0"/>
      <w:marRight w:val="0"/>
      <w:marTop w:val="0"/>
      <w:marBottom w:val="0"/>
      <w:divBdr>
        <w:top w:val="none" w:sz="0" w:space="0" w:color="auto"/>
        <w:left w:val="none" w:sz="0" w:space="0" w:color="auto"/>
        <w:bottom w:val="none" w:sz="0" w:space="0" w:color="auto"/>
        <w:right w:val="none" w:sz="0" w:space="0" w:color="auto"/>
      </w:divBdr>
    </w:div>
    <w:div w:id="1262251891">
      <w:bodyDiv w:val="1"/>
      <w:marLeft w:val="0"/>
      <w:marRight w:val="0"/>
      <w:marTop w:val="0"/>
      <w:marBottom w:val="0"/>
      <w:divBdr>
        <w:top w:val="none" w:sz="0" w:space="0" w:color="auto"/>
        <w:left w:val="none" w:sz="0" w:space="0" w:color="auto"/>
        <w:bottom w:val="none" w:sz="0" w:space="0" w:color="auto"/>
        <w:right w:val="none" w:sz="0" w:space="0" w:color="auto"/>
      </w:divBdr>
      <w:divsChild>
        <w:div w:id="223151593">
          <w:marLeft w:val="0"/>
          <w:marRight w:val="0"/>
          <w:marTop w:val="0"/>
          <w:marBottom w:val="0"/>
          <w:divBdr>
            <w:top w:val="none" w:sz="0" w:space="0" w:color="auto"/>
            <w:left w:val="none" w:sz="0" w:space="0" w:color="auto"/>
            <w:bottom w:val="none" w:sz="0" w:space="0" w:color="auto"/>
            <w:right w:val="none" w:sz="0" w:space="0" w:color="auto"/>
          </w:divBdr>
          <w:divsChild>
            <w:div w:id="1580671015">
              <w:marLeft w:val="0"/>
              <w:marRight w:val="0"/>
              <w:marTop w:val="0"/>
              <w:marBottom w:val="0"/>
              <w:divBdr>
                <w:top w:val="none" w:sz="0" w:space="0" w:color="auto"/>
                <w:left w:val="none" w:sz="0" w:space="0" w:color="auto"/>
                <w:bottom w:val="none" w:sz="0" w:space="0" w:color="auto"/>
                <w:right w:val="none" w:sz="0" w:space="0" w:color="auto"/>
              </w:divBdr>
            </w:div>
          </w:divsChild>
        </w:div>
        <w:div w:id="1398476053">
          <w:marLeft w:val="0"/>
          <w:marRight w:val="0"/>
          <w:marTop w:val="0"/>
          <w:marBottom w:val="0"/>
          <w:divBdr>
            <w:top w:val="none" w:sz="0" w:space="0" w:color="auto"/>
            <w:left w:val="none" w:sz="0" w:space="0" w:color="auto"/>
            <w:bottom w:val="none" w:sz="0" w:space="0" w:color="auto"/>
            <w:right w:val="none" w:sz="0" w:space="0" w:color="auto"/>
          </w:divBdr>
          <w:divsChild>
            <w:div w:id="111482513">
              <w:marLeft w:val="0"/>
              <w:marRight w:val="0"/>
              <w:marTop w:val="0"/>
              <w:marBottom w:val="0"/>
              <w:divBdr>
                <w:top w:val="none" w:sz="0" w:space="0" w:color="auto"/>
                <w:left w:val="none" w:sz="0" w:space="0" w:color="auto"/>
                <w:bottom w:val="none" w:sz="0" w:space="0" w:color="auto"/>
                <w:right w:val="none" w:sz="0" w:space="0" w:color="auto"/>
              </w:divBdr>
            </w:div>
            <w:div w:id="1374497395">
              <w:marLeft w:val="0"/>
              <w:marRight w:val="0"/>
              <w:marTop w:val="0"/>
              <w:marBottom w:val="93"/>
              <w:divBdr>
                <w:top w:val="none" w:sz="0" w:space="0" w:color="auto"/>
                <w:left w:val="none" w:sz="0" w:space="0" w:color="auto"/>
                <w:bottom w:val="none" w:sz="0" w:space="0" w:color="auto"/>
                <w:right w:val="none" w:sz="0" w:space="0" w:color="auto"/>
              </w:divBdr>
              <w:divsChild>
                <w:div w:id="17226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6393">
          <w:marLeft w:val="0"/>
          <w:marRight w:val="0"/>
          <w:marTop w:val="0"/>
          <w:marBottom w:val="0"/>
          <w:divBdr>
            <w:top w:val="none" w:sz="0" w:space="0" w:color="auto"/>
            <w:left w:val="none" w:sz="0" w:space="0" w:color="auto"/>
            <w:bottom w:val="none" w:sz="0" w:space="0" w:color="auto"/>
            <w:right w:val="none" w:sz="0" w:space="0" w:color="auto"/>
          </w:divBdr>
        </w:div>
      </w:divsChild>
    </w:div>
    <w:div w:id="1668560952">
      <w:bodyDiv w:val="1"/>
      <w:marLeft w:val="0"/>
      <w:marRight w:val="0"/>
      <w:marTop w:val="0"/>
      <w:marBottom w:val="0"/>
      <w:divBdr>
        <w:top w:val="none" w:sz="0" w:space="0" w:color="auto"/>
        <w:left w:val="none" w:sz="0" w:space="0" w:color="auto"/>
        <w:bottom w:val="none" w:sz="0" w:space="0" w:color="auto"/>
        <w:right w:val="none" w:sz="0" w:space="0" w:color="auto"/>
      </w:divBdr>
      <w:divsChild>
        <w:div w:id="689062926">
          <w:marLeft w:val="0"/>
          <w:marRight w:val="0"/>
          <w:marTop w:val="0"/>
          <w:marBottom w:val="0"/>
          <w:divBdr>
            <w:top w:val="none" w:sz="0" w:space="0" w:color="auto"/>
            <w:left w:val="none" w:sz="0" w:space="0" w:color="auto"/>
            <w:bottom w:val="none" w:sz="0" w:space="0" w:color="auto"/>
            <w:right w:val="none" w:sz="0" w:space="0" w:color="auto"/>
          </w:divBdr>
          <w:divsChild>
            <w:div w:id="92672409">
              <w:marLeft w:val="0"/>
              <w:marRight w:val="0"/>
              <w:marTop w:val="0"/>
              <w:marBottom w:val="0"/>
              <w:divBdr>
                <w:top w:val="none" w:sz="0" w:space="0" w:color="auto"/>
                <w:left w:val="none" w:sz="0" w:space="0" w:color="auto"/>
                <w:bottom w:val="none" w:sz="0" w:space="0" w:color="auto"/>
                <w:right w:val="none" w:sz="0" w:space="0" w:color="auto"/>
              </w:divBdr>
              <w:divsChild>
                <w:div w:id="1436900799">
                  <w:marLeft w:val="0"/>
                  <w:marRight w:val="0"/>
                  <w:marTop w:val="0"/>
                  <w:marBottom w:val="0"/>
                  <w:divBdr>
                    <w:top w:val="none" w:sz="0" w:space="0" w:color="auto"/>
                    <w:left w:val="none" w:sz="0" w:space="0" w:color="auto"/>
                    <w:bottom w:val="none" w:sz="0" w:space="0" w:color="auto"/>
                    <w:right w:val="none" w:sz="0" w:space="0" w:color="auto"/>
                  </w:divBdr>
                  <w:divsChild>
                    <w:div w:id="1061247104">
                      <w:marLeft w:val="0"/>
                      <w:marRight w:val="0"/>
                      <w:marTop w:val="0"/>
                      <w:marBottom w:val="0"/>
                      <w:divBdr>
                        <w:top w:val="none" w:sz="0" w:space="0" w:color="auto"/>
                        <w:left w:val="none" w:sz="0" w:space="0" w:color="auto"/>
                        <w:bottom w:val="none" w:sz="0" w:space="0" w:color="auto"/>
                        <w:right w:val="none" w:sz="0" w:space="0" w:color="auto"/>
                      </w:divBdr>
                      <w:divsChild>
                        <w:div w:id="8348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1814">
      <w:bodyDiv w:val="1"/>
      <w:marLeft w:val="0"/>
      <w:marRight w:val="0"/>
      <w:marTop w:val="0"/>
      <w:marBottom w:val="0"/>
      <w:divBdr>
        <w:top w:val="none" w:sz="0" w:space="0" w:color="auto"/>
        <w:left w:val="none" w:sz="0" w:space="0" w:color="auto"/>
        <w:bottom w:val="none" w:sz="0" w:space="0" w:color="auto"/>
        <w:right w:val="none" w:sz="0" w:space="0" w:color="auto"/>
      </w:divBdr>
      <w:divsChild>
        <w:div w:id="512382531">
          <w:marLeft w:val="0"/>
          <w:marRight w:val="0"/>
          <w:marTop w:val="0"/>
          <w:marBottom w:val="0"/>
          <w:divBdr>
            <w:top w:val="none" w:sz="0" w:space="0" w:color="auto"/>
            <w:left w:val="none" w:sz="0" w:space="0" w:color="auto"/>
            <w:bottom w:val="none" w:sz="0" w:space="0" w:color="auto"/>
            <w:right w:val="none" w:sz="0" w:space="0" w:color="auto"/>
          </w:divBdr>
          <w:divsChild>
            <w:div w:id="1176506166">
              <w:marLeft w:val="0"/>
              <w:marRight w:val="0"/>
              <w:marTop w:val="0"/>
              <w:marBottom w:val="0"/>
              <w:divBdr>
                <w:top w:val="none" w:sz="0" w:space="0" w:color="auto"/>
                <w:left w:val="none" w:sz="0" w:space="0" w:color="auto"/>
                <w:bottom w:val="none" w:sz="0" w:space="0" w:color="auto"/>
                <w:right w:val="none" w:sz="0" w:space="0" w:color="auto"/>
              </w:divBdr>
              <w:divsChild>
                <w:div w:id="1959800153">
                  <w:marLeft w:val="0"/>
                  <w:marRight w:val="0"/>
                  <w:marTop w:val="0"/>
                  <w:marBottom w:val="0"/>
                  <w:divBdr>
                    <w:top w:val="none" w:sz="0" w:space="0" w:color="auto"/>
                    <w:left w:val="none" w:sz="0" w:space="0" w:color="auto"/>
                    <w:bottom w:val="none" w:sz="0" w:space="0" w:color="auto"/>
                    <w:right w:val="none" w:sz="0" w:space="0" w:color="auto"/>
                  </w:divBdr>
                  <w:divsChild>
                    <w:div w:id="2020038161">
                      <w:marLeft w:val="0"/>
                      <w:marRight w:val="0"/>
                      <w:marTop w:val="0"/>
                      <w:marBottom w:val="0"/>
                      <w:divBdr>
                        <w:top w:val="none" w:sz="0" w:space="0" w:color="auto"/>
                        <w:left w:val="none" w:sz="0" w:space="0" w:color="auto"/>
                        <w:bottom w:val="none" w:sz="0" w:space="0" w:color="auto"/>
                        <w:right w:val="none" w:sz="0" w:space="0" w:color="auto"/>
                      </w:divBdr>
                      <w:divsChild>
                        <w:div w:id="13406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0530a76fb9e04c81" Type="http://schemas.microsoft.com/office/2019/09/relationships/intelligence" Target="intelligenc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38813c-8383-40ac-aac6-c130ac0789ad">
      <Terms xmlns="http://schemas.microsoft.com/office/infopath/2007/PartnerControls"/>
    </lcf76f155ced4ddcb4097134ff3c332f>
    <TaxCatchAll xmlns="7732951b-1e4d-4ca2-ae25-3c4f29afc10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DCA39892727A43AED8685A6B9892AC" ma:contentTypeVersion="16" ma:contentTypeDescription="Create a new document." ma:contentTypeScope="" ma:versionID="06c636b0634562424e492401b505047a">
  <xsd:schema xmlns:xsd="http://www.w3.org/2001/XMLSchema" xmlns:xs="http://www.w3.org/2001/XMLSchema" xmlns:p="http://schemas.microsoft.com/office/2006/metadata/properties" xmlns:ns2="1e38813c-8383-40ac-aac6-c130ac0789ad" xmlns:ns3="7732951b-1e4d-4ca2-ae25-3c4f29afc10d" targetNamespace="http://schemas.microsoft.com/office/2006/metadata/properties" ma:root="true" ma:fieldsID="ded78c2f4aff38b459540f72892d5355" ns2:_="" ns3:_="">
    <xsd:import namespace="1e38813c-8383-40ac-aac6-c130ac0789ad"/>
    <xsd:import namespace="7732951b-1e4d-4ca2-ae25-3c4f29afc1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38813c-8383-40ac-aac6-c130ac0789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89f8bb-ed4d-4602-b98b-499c5278b0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732951b-1e4d-4ca2-ae25-3c4f29afc10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feeaad-4ddb-4bcf-b7b8-2f706658a740}" ma:internalName="TaxCatchAll" ma:showField="CatchAllData" ma:web="7732951b-1e4d-4ca2-ae25-3c4f29afc1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5EE9A-F0F6-461D-ACE6-59004ABAB799}">
  <ds:schemaRefs>
    <ds:schemaRef ds:uri="http://schemas.microsoft.com/office/2006/metadata/properties"/>
    <ds:schemaRef ds:uri="http://schemas.microsoft.com/office/infopath/2007/PartnerControls"/>
    <ds:schemaRef ds:uri="1e38813c-8383-40ac-aac6-c130ac0789ad"/>
    <ds:schemaRef ds:uri="7732951b-1e4d-4ca2-ae25-3c4f29afc10d"/>
  </ds:schemaRefs>
</ds:datastoreItem>
</file>

<file path=customXml/itemProps2.xml><?xml version="1.0" encoding="utf-8"?>
<ds:datastoreItem xmlns:ds="http://schemas.openxmlformats.org/officeDocument/2006/customXml" ds:itemID="{B551B8A2-59C8-4167-8E8B-9A4F796324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38813c-8383-40ac-aac6-c130ac0789ad"/>
    <ds:schemaRef ds:uri="7732951b-1e4d-4ca2-ae25-3c4f29afc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C38FEC-EBA4-41B7-B3E6-98D70386AD8C}">
  <ds:schemaRefs>
    <ds:schemaRef ds:uri="http://schemas.microsoft.com/sharepoint/v3/contenttype/forms"/>
  </ds:schemaRefs>
</ds:datastoreItem>
</file>

<file path=customXml/itemProps4.xml><?xml version="1.0" encoding="utf-8"?>
<ds:datastoreItem xmlns:ds="http://schemas.openxmlformats.org/officeDocument/2006/customXml" ds:itemID="{95200D09-6EF6-4632-9ACB-BC03A409A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2013</Words>
  <Characters>10533</Characters>
  <Application>Microsoft Office Word</Application>
  <DocSecurity>0</DocSecurity>
  <Lines>284</Lines>
  <Paragraphs>115</Paragraphs>
  <ScaleCrop>false</ScaleCrop>
  <Company>City of Boroondara</Company>
  <LinksUpToDate>false</LinksUpToDate>
  <CharactersWithSpaces>12431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kmcmahon</dc:creator>
  <cp:keywords/>
  <dc:description/>
  <cp:lastModifiedBy>Julie Paget</cp:lastModifiedBy>
  <cp:revision>6</cp:revision>
  <cp:lastPrinted>2017-04-07T00:02:00Z</cp:lastPrinted>
  <dcterms:created xsi:type="dcterms:W3CDTF">2022-03-07T09:19:00Z</dcterms:created>
  <dcterms:modified xsi:type="dcterms:W3CDTF">2022-06-01T03:27:00Z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0x010100A4DCA39892727A43AED8685A6B9892AC</vt:lpwstr>
  </property>
  <property fmtid="{D5CDD505-2E9C-101B-9397-08002B2CF9AE}" pid="3" name="MediaServiceImageTags">
    <vt:lpwstr/>
  </property>
</Properties>
</file>