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bookmarkStart w:id="0" w:name="_GoBack"/>
      <w:bookmarkEnd w:id="0"/>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0951C1D2" w:rsidR="00824D69" w:rsidRPr="00533CF2" w:rsidRDefault="00CB0221" w:rsidP="00D00A0D">
            <w:pPr>
              <w:jc w:val="left"/>
              <w:rPr>
                <w:rFonts w:cs="Arial"/>
                <w:b/>
                <w:sz w:val="21"/>
                <w:szCs w:val="21"/>
              </w:rPr>
            </w:pPr>
            <w:r>
              <w:rPr>
                <w:rFonts w:cs="Arial"/>
                <w:b/>
                <w:sz w:val="21"/>
                <w:szCs w:val="21"/>
              </w:rPr>
              <w:t>Harton Hill</w:t>
            </w:r>
            <w:r w:rsidR="008B6DAA">
              <w:rPr>
                <w:rFonts w:cs="Arial"/>
                <w:b/>
                <w:sz w:val="21"/>
                <w:szCs w:val="21"/>
              </w:rPr>
              <w:t xml:space="preserve"> Farmhouse and Outbuildings, </w:t>
            </w:r>
            <w:r w:rsidR="00F47DFA">
              <w:rPr>
                <w:rFonts w:cs="Arial"/>
                <w:b/>
                <w:sz w:val="21"/>
                <w:szCs w:val="21"/>
              </w:rPr>
              <w:t xml:space="preserve">Monterey </w:t>
            </w:r>
            <w:r w:rsidR="00A3603F">
              <w:rPr>
                <w:rFonts w:cs="Arial"/>
                <w:b/>
                <w:sz w:val="21"/>
                <w:szCs w:val="21"/>
              </w:rPr>
              <w:t>Cypress Drive</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4D1E3229"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49EFAC3D" w:rsidR="00F412AE" w:rsidRPr="00E0419F" w:rsidRDefault="00F412AE" w:rsidP="00465000">
            <w:pPr>
              <w:rPr>
                <w:rFonts w:cs="Arial"/>
                <w:sz w:val="21"/>
                <w:szCs w:val="21"/>
              </w:rPr>
            </w:pPr>
            <w:r w:rsidRPr="00533CF2">
              <w:rPr>
                <w:rFonts w:cs="Arial"/>
                <w:b/>
                <w:sz w:val="21"/>
                <w:szCs w:val="21"/>
              </w:rPr>
              <w:t>Address:</w:t>
            </w:r>
            <w:r w:rsidR="00E0419F">
              <w:rPr>
                <w:rFonts w:cs="Arial"/>
                <w:b/>
                <w:sz w:val="21"/>
                <w:szCs w:val="21"/>
              </w:rPr>
              <w:t xml:space="preserve"> </w:t>
            </w:r>
            <w:r w:rsidR="00E17090" w:rsidRPr="007058DF">
              <w:rPr>
                <w:rFonts w:cs="Arial"/>
                <w:bCs/>
                <w:sz w:val="21"/>
                <w:szCs w:val="21"/>
              </w:rPr>
              <w:t>405 Ryans Road, Diamond Creek</w:t>
            </w:r>
          </w:p>
        </w:tc>
      </w:tr>
      <w:tr w:rsidR="00D00A0D" w:rsidRPr="00533CF2" w14:paraId="25C448F6" w14:textId="77777777" w:rsidTr="00492AB4">
        <w:trPr>
          <w:trHeight w:val="397"/>
        </w:trPr>
        <w:tc>
          <w:tcPr>
            <w:tcW w:w="5495" w:type="dxa"/>
          </w:tcPr>
          <w:p w14:paraId="5A1A9259" w14:textId="00326DFD" w:rsidR="00D00A0D" w:rsidRPr="00533CF2" w:rsidRDefault="00D00A0D" w:rsidP="00465000">
            <w:pPr>
              <w:rPr>
                <w:rFonts w:cs="Arial"/>
                <w:b/>
                <w:sz w:val="21"/>
                <w:szCs w:val="21"/>
              </w:rPr>
            </w:pPr>
            <w:r w:rsidRPr="00533CF2">
              <w:rPr>
                <w:rFonts w:cs="Arial"/>
                <w:b/>
                <w:sz w:val="21"/>
                <w:szCs w:val="21"/>
              </w:rPr>
              <w:t xml:space="preserve">Name: </w:t>
            </w:r>
            <w:r w:rsidR="00A3603F" w:rsidRPr="00E17090">
              <w:rPr>
                <w:sz w:val="21"/>
                <w:szCs w:val="21"/>
              </w:rPr>
              <w:t>Harton Hill Farmhouse and Outbuildings, Monterey Cypress Drive</w:t>
            </w:r>
            <w:r w:rsidR="00A3603F" w:rsidRPr="00824BFA">
              <w:t xml:space="preserve"> </w:t>
            </w:r>
          </w:p>
        </w:tc>
        <w:tc>
          <w:tcPr>
            <w:tcW w:w="3118" w:type="dxa"/>
          </w:tcPr>
          <w:p w14:paraId="486D578B" w14:textId="70E318CB" w:rsidR="00D00A0D" w:rsidRPr="00E0419F" w:rsidRDefault="00D00A0D" w:rsidP="00465000">
            <w:pPr>
              <w:rPr>
                <w:rFonts w:cs="Arial"/>
                <w:sz w:val="21"/>
                <w:szCs w:val="21"/>
              </w:rPr>
            </w:pPr>
            <w:r w:rsidRPr="00533CF2">
              <w:rPr>
                <w:rFonts w:cs="Arial"/>
                <w:b/>
                <w:sz w:val="21"/>
                <w:szCs w:val="21"/>
              </w:rPr>
              <w:t>Survey Date:</w:t>
            </w:r>
            <w:r w:rsidR="00E0419F">
              <w:rPr>
                <w:rFonts w:cs="Arial"/>
                <w:b/>
                <w:sz w:val="21"/>
                <w:szCs w:val="21"/>
              </w:rPr>
              <w:t xml:space="preserve"> </w:t>
            </w:r>
          </w:p>
        </w:tc>
      </w:tr>
      <w:tr w:rsidR="00D00A0D" w:rsidRPr="00533CF2" w14:paraId="55B24944" w14:textId="77777777" w:rsidTr="00492AB4">
        <w:trPr>
          <w:trHeight w:val="397"/>
        </w:trPr>
        <w:tc>
          <w:tcPr>
            <w:tcW w:w="5495" w:type="dxa"/>
          </w:tcPr>
          <w:p w14:paraId="762FDA8F" w14:textId="0B9319DE" w:rsidR="00D00A0D" w:rsidRPr="00580661" w:rsidRDefault="00D00A0D" w:rsidP="00E0419F">
            <w:pPr>
              <w:rPr>
                <w:rFonts w:cs="Arial"/>
                <w:sz w:val="21"/>
                <w:szCs w:val="21"/>
              </w:rPr>
            </w:pPr>
            <w:r w:rsidRPr="00533CF2">
              <w:rPr>
                <w:rFonts w:cs="Arial"/>
                <w:b/>
                <w:sz w:val="21"/>
                <w:szCs w:val="21"/>
              </w:rPr>
              <w:t xml:space="preserve">Place Type: </w:t>
            </w:r>
            <w:r w:rsidR="00ED4B29" w:rsidRPr="0027523E">
              <w:rPr>
                <w:rFonts w:cs="Arial"/>
                <w:bCs/>
                <w:sz w:val="21"/>
                <w:szCs w:val="21"/>
              </w:rPr>
              <w:t>Residential, Farm</w:t>
            </w:r>
            <w:r w:rsidR="00A03E61" w:rsidRPr="0027523E">
              <w:rPr>
                <w:rFonts w:cs="Arial"/>
                <w:bCs/>
                <w:sz w:val="21"/>
                <w:szCs w:val="21"/>
              </w:rPr>
              <w:t>ing</w:t>
            </w:r>
          </w:p>
        </w:tc>
        <w:tc>
          <w:tcPr>
            <w:tcW w:w="3118" w:type="dxa"/>
          </w:tcPr>
          <w:p w14:paraId="24E08DF2" w14:textId="406AC77C" w:rsidR="00D00A0D" w:rsidRPr="00E0419F" w:rsidRDefault="00D00A0D" w:rsidP="00465000">
            <w:pPr>
              <w:rPr>
                <w:rFonts w:cs="Arial"/>
                <w:sz w:val="21"/>
                <w:szCs w:val="21"/>
              </w:rPr>
            </w:pPr>
            <w:r w:rsidRPr="00533CF2">
              <w:rPr>
                <w:rFonts w:cs="Arial"/>
                <w:b/>
                <w:sz w:val="21"/>
                <w:szCs w:val="21"/>
              </w:rPr>
              <w:t>Architect:</w:t>
            </w:r>
            <w:r w:rsidR="00E0419F">
              <w:rPr>
                <w:rFonts w:cs="Arial"/>
                <w:b/>
                <w:sz w:val="21"/>
                <w:szCs w:val="21"/>
              </w:rPr>
              <w:t xml:space="preserve"> </w:t>
            </w:r>
            <w:r w:rsidR="001003CC" w:rsidRPr="0027523E">
              <w:rPr>
                <w:rFonts w:cs="Arial"/>
                <w:bCs/>
                <w:sz w:val="21"/>
                <w:szCs w:val="21"/>
              </w:rPr>
              <w:t>Not known</w:t>
            </w:r>
          </w:p>
        </w:tc>
      </w:tr>
      <w:tr w:rsidR="00D00A0D" w:rsidRPr="00533CF2" w14:paraId="11DA50E0" w14:textId="77777777" w:rsidTr="00492AB4">
        <w:trPr>
          <w:trHeight w:val="397"/>
        </w:trPr>
        <w:tc>
          <w:tcPr>
            <w:tcW w:w="5495" w:type="dxa"/>
          </w:tcPr>
          <w:p w14:paraId="33B19311" w14:textId="0A9E3784" w:rsidR="00D00A0D" w:rsidRPr="006F6821" w:rsidRDefault="00D00A0D" w:rsidP="00E0419F">
            <w:pPr>
              <w:rPr>
                <w:rFonts w:cs="Arial"/>
                <w:bCs/>
                <w:sz w:val="21"/>
                <w:szCs w:val="21"/>
              </w:rPr>
            </w:pPr>
            <w:r w:rsidRPr="00533CF2">
              <w:rPr>
                <w:rFonts w:cs="Arial"/>
                <w:b/>
                <w:sz w:val="21"/>
                <w:szCs w:val="21"/>
              </w:rPr>
              <w:t>Grading:</w:t>
            </w:r>
            <w:r w:rsidR="00580661">
              <w:rPr>
                <w:rFonts w:cs="Arial"/>
                <w:b/>
                <w:sz w:val="21"/>
                <w:szCs w:val="21"/>
              </w:rPr>
              <w:t xml:space="preserve"> </w:t>
            </w:r>
            <w:r w:rsidR="006F6821">
              <w:rPr>
                <w:rFonts w:cs="Arial"/>
                <w:bCs/>
                <w:sz w:val="21"/>
                <w:szCs w:val="21"/>
              </w:rPr>
              <w:t>Significant</w:t>
            </w:r>
          </w:p>
        </w:tc>
        <w:tc>
          <w:tcPr>
            <w:tcW w:w="3118" w:type="dxa"/>
          </w:tcPr>
          <w:p w14:paraId="3E63B317" w14:textId="311C0538" w:rsidR="00D00A0D" w:rsidRPr="00533CF2" w:rsidRDefault="00D00A0D" w:rsidP="00014192">
            <w:pPr>
              <w:rPr>
                <w:rFonts w:cs="Arial"/>
                <w:b/>
                <w:sz w:val="21"/>
                <w:szCs w:val="21"/>
              </w:rPr>
            </w:pPr>
            <w:r w:rsidRPr="00533CF2">
              <w:rPr>
                <w:rFonts w:cs="Arial"/>
                <w:b/>
                <w:sz w:val="21"/>
                <w:szCs w:val="21"/>
              </w:rPr>
              <w:t>Builder:</w:t>
            </w:r>
            <w:r w:rsidR="00B9734A">
              <w:rPr>
                <w:rFonts w:cs="Arial"/>
                <w:b/>
                <w:sz w:val="21"/>
                <w:szCs w:val="21"/>
              </w:rPr>
              <w:t xml:space="preserve"> </w:t>
            </w:r>
            <w:r w:rsidR="001003CC" w:rsidRPr="0027523E">
              <w:rPr>
                <w:rFonts w:cs="Arial"/>
                <w:bCs/>
                <w:sz w:val="21"/>
                <w:szCs w:val="21"/>
              </w:rPr>
              <w:t>Not known</w:t>
            </w:r>
          </w:p>
        </w:tc>
      </w:tr>
      <w:tr w:rsidR="00D00A0D" w:rsidRPr="00533CF2" w14:paraId="44683571" w14:textId="77777777" w:rsidTr="00492AB4">
        <w:trPr>
          <w:trHeight w:val="397"/>
        </w:trPr>
        <w:tc>
          <w:tcPr>
            <w:tcW w:w="5495" w:type="dxa"/>
          </w:tcPr>
          <w:p w14:paraId="7F5D5AD7" w14:textId="652E100D" w:rsidR="00D00A0D" w:rsidRPr="0027523E" w:rsidRDefault="00D00A0D" w:rsidP="0053253F">
            <w:pPr>
              <w:rPr>
                <w:rFonts w:cs="Arial"/>
                <w:bCs/>
                <w:sz w:val="21"/>
                <w:szCs w:val="21"/>
              </w:rPr>
            </w:pPr>
            <w:r w:rsidRPr="00533CF2">
              <w:rPr>
                <w:rFonts w:cs="Arial"/>
                <w:b/>
                <w:sz w:val="21"/>
                <w:szCs w:val="21"/>
              </w:rPr>
              <w:t xml:space="preserve">Extent of Overlay: </w:t>
            </w:r>
            <w:r w:rsidR="006F6821">
              <w:rPr>
                <w:rFonts w:cs="Arial"/>
                <w:bCs/>
                <w:sz w:val="21"/>
                <w:szCs w:val="21"/>
              </w:rPr>
              <w:t>To title boundaries</w:t>
            </w:r>
          </w:p>
        </w:tc>
        <w:tc>
          <w:tcPr>
            <w:tcW w:w="3118" w:type="dxa"/>
          </w:tcPr>
          <w:p w14:paraId="3B72F686" w14:textId="2C3BED90" w:rsidR="00D00A0D" w:rsidRPr="00E0419F" w:rsidRDefault="00D00A0D" w:rsidP="00465000">
            <w:pPr>
              <w:rPr>
                <w:rFonts w:cs="Arial"/>
                <w:sz w:val="21"/>
                <w:szCs w:val="21"/>
              </w:rPr>
            </w:pPr>
            <w:r w:rsidRPr="00533CF2">
              <w:rPr>
                <w:rFonts w:cs="Arial"/>
                <w:b/>
                <w:sz w:val="21"/>
                <w:szCs w:val="21"/>
              </w:rPr>
              <w:t>Construction Date:</w:t>
            </w:r>
            <w:r w:rsidR="00B9734A">
              <w:rPr>
                <w:rFonts w:cs="Arial"/>
                <w:b/>
                <w:sz w:val="21"/>
                <w:szCs w:val="21"/>
              </w:rPr>
              <w:t xml:space="preserve"> </w:t>
            </w:r>
            <w:r w:rsidR="001003CC" w:rsidRPr="0027523E">
              <w:rPr>
                <w:rFonts w:cs="Arial"/>
                <w:bCs/>
                <w:sz w:val="21"/>
                <w:szCs w:val="21"/>
              </w:rPr>
              <w:t>c1930s</w:t>
            </w:r>
          </w:p>
        </w:tc>
      </w:tr>
    </w:tbl>
    <w:p w14:paraId="0FBA6BFB" w14:textId="77777777" w:rsidR="00F0333B" w:rsidRPr="00533CF2" w:rsidRDefault="00F0333B" w:rsidP="0053253F">
      <w:pPr>
        <w:rPr>
          <w:rFonts w:cs="Arial"/>
          <w:sz w:val="21"/>
          <w:szCs w:val="21"/>
        </w:rPr>
      </w:pPr>
    </w:p>
    <w:p w14:paraId="41E40C80" w14:textId="1F10A0F5" w:rsidR="003D39C2" w:rsidRPr="00EE5B6D" w:rsidRDefault="00EE5B6D" w:rsidP="00014192">
      <w:pPr>
        <w:rPr>
          <w:rFonts w:cs="Arial"/>
          <w:sz w:val="21"/>
          <w:szCs w:val="21"/>
        </w:rPr>
      </w:pPr>
      <w:r>
        <w:rPr>
          <w:noProof/>
          <w:lang w:eastAsia="en-AU"/>
        </w:rPr>
        <w:drawing>
          <wp:inline distT="0" distB="0" distL="0" distR="0" wp14:anchorId="7833DB5F" wp14:editId="5F116C03">
            <wp:extent cx="3867150" cy="6153150"/>
            <wp:effectExtent l="0" t="0" r="0" b="0"/>
            <wp:docPr id="2" name="Picture 2" descr="A bird's eye view of a neighborh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rd's eye view of a neighborhood&#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6153150"/>
                    </a:xfrm>
                    <a:prstGeom prst="rect">
                      <a:avLst/>
                    </a:prstGeom>
                    <a:noFill/>
                    <a:ln>
                      <a:noFill/>
                    </a:ln>
                  </pic:spPr>
                </pic:pic>
              </a:graphicData>
            </a:graphic>
          </wp:inline>
        </w:drawing>
      </w:r>
      <w:r>
        <w:rPr>
          <w:rFonts w:cs="Arial"/>
          <w:b/>
          <w:bCs/>
          <w:color w:val="000000"/>
          <w:shd w:val="clear" w:color="auto" w:fill="FFFFFF"/>
          <w:lang w:val="en-US"/>
        </w:rPr>
        <w:br/>
      </w:r>
    </w:p>
    <w:p w14:paraId="439CB1DD" w14:textId="77777777" w:rsidR="00014192" w:rsidRPr="00533CF2" w:rsidRDefault="00014192" w:rsidP="00014192">
      <w:pPr>
        <w:rPr>
          <w:rFonts w:cs="Arial"/>
          <w:b/>
          <w:sz w:val="21"/>
          <w:szCs w:val="21"/>
        </w:rPr>
      </w:pPr>
      <w:r w:rsidRPr="00533CF2">
        <w:rPr>
          <w:rFonts w:cs="Arial"/>
          <w:b/>
          <w:sz w:val="21"/>
          <w:szCs w:val="21"/>
        </w:rPr>
        <w:lastRenderedPageBreak/>
        <w:t>Historical Context</w:t>
      </w:r>
    </w:p>
    <w:p w14:paraId="18955E6B" w14:textId="77777777" w:rsidR="002306F9" w:rsidRPr="002306F9" w:rsidRDefault="002306F9" w:rsidP="002306F9">
      <w:pPr>
        <w:rPr>
          <w:rFonts w:cs="Arial"/>
          <w:sz w:val="21"/>
          <w:szCs w:val="21"/>
        </w:rPr>
      </w:pPr>
    </w:p>
    <w:p w14:paraId="3553F275" w14:textId="77777777" w:rsidR="002306F9" w:rsidRPr="002306F9" w:rsidRDefault="002306F9" w:rsidP="002306F9">
      <w:pPr>
        <w:rPr>
          <w:rFonts w:cs="Arial"/>
          <w:sz w:val="21"/>
          <w:szCs w:val="21"/>
        </w:rPr>
      </w:pPr>
      <w:r w:rsidRPr="002306F9">
        <w:rPr>
          <w:rFonts w:cs="Arial"/>
          <w:sz w:val="21"/>
          <w:szCs w:val="21"/>
        </w:rPr>
        <w:t xml:space="preserve">Although Crown Land in Nillumbik Parish was offered for sale in 1852 there were few buyers. A government township was reserved on the west of the Diamond Creek at this time but it was neither subdivided nor sold until 1866. In 1863 the Diamond Reef was discovered on land purchased by Dr John Blakemore Phipps in 1854 east of the creek. The rush to Diamond Creek began and soon Phipps was renting sections of his land, which he later subdivided to miners. In effect the development of Phipps land for gold mining was the beginnings of Diamond Creek, which was soon bustling with gold seekers. In 1866 the government proclaimed Diamond Creek as a township. Many of the important community buildings were established by the early 1870s. By the second half of the 1880s the locality was being carved up rapidly into a dominant pattern of numerous small lots of around 20 acres. These were taken up under occupation licenses, first under Section 49 of the Land Act 1869 and later under Section 65 of the Land Act 1884. Diamond Creek's population peaked around the turn of the century then seemed to fall away again in the early twentieth century (Graeme Butler &amp; Associates 1996, p.36). </w:t>
      </w:r>
    </w:p>
    <w:p w14:paraId="6A188AEE" w14:textId="593D7D90" w:rsidR="002306F9" w:rsidRPr="002306F9" w:rsidRDefault="002306F9" w:rsidP="002306F9">
      <w:pPr>
        <w:rPr>
          <w:rFonts w:cs="Arial"/>
          <w:sz w:val="21"/>
          <w:szCs w:val="21"/>
        </w:rPr>
      </w:pPr>
    </w:p>
    <w:p w14:paraId="1605F8EB" w14:textId="4A96C8B1" w:rsidR="00643D69" w:rsidRPr="002306F9" w:rsidRDefault="002306F9" w:rsidP="002306F9">
      <w:pPr>
        <w:rPr>
          <w:rFonts w:cs="Arial"/>
          <w:b/>
          <w:bCs/>
          <w:sz w:val="21"/>
          <w:szCs w:val="21"/>
          <w:lang w:val="en-US"/>
        </w:rPr>
      </w:pPr>
      <w:r w:rsidRPr="002306F9">
        <w:rPr>
          <w:rFonts w:cs="Arial"/>
          <w:sz w:val="21"/>
          <w:szCs w:val="21"/>
        </w:rPr>
        <w:t xml:space="preserve">In 1912, the Eltham Railway Line was extended to Hurstbridge through Diamond Creek, bringing tourists to this area. Despite this, Diamond Creek remained a rural township throughout the first half of the twentieth century/ From the 1960s onwards, affordable land on subdivided orchards and accessibility to railway networks attracted young families to build their homes in the area, prompting the population growth in Diamond Creek (Jill Barnard, 2008).  </w:t>
      </w:r>
    </w:p>
    <w:p w14:paraId="72719C00" w14:textId="77777777" w:rsidR="001612CB" w:rsidRPr="00824BFA" w:rsidRDefault="001612CB" w:rsidP="0053253F">
      <w:pPr>
        <w:rPr>
          <w:rFonts w:cs="Arial"/>
          <w:b/>
          <w:sz w:val="21"/>
          <w:szCs w:val="21"/>
          <w:lang w:val="en-US"/>
        </w:rPr>
      </w:pPr>
    </w:p>
    <w:p w14:paraId="0F4D836C" w14:textId="77777777" w:rsidR="00F0333B" w:rsidRPr="00533CF2" w:rsidRDefault="00F0333B" w:rsidP="0053253F">
      <w:pPr>
        <w:rPr>
          <w:rFonts w:cs="Arial"/>
          <w:b/>
          <w:sz w:val="21"/>
          <w:szCs w:val="21"/>
        </w:rPr>
      </w:pPr>
      <w:r w:rsidRPr="00533CF2">
        <w:rPr>
          <w:rFonts w:cs="Arial"/>
          <w:b/>
          <w:sz w:val="21"/>
          <w:szCs w:val="21"/>
        </w:rPr>
        <w:t>History</w:t>
      </w:r>
    </w:p>
    <w:p w14:paraId="2BB781A7" w14:textId="29D1FA0E" w:rsidR="00B435E4" w:rsidRDefault="00B435E4" w:rsidP="00335ECB">
      <w:pPr>
        <w:rPr>
          <w:rFonts w:cs="Arial"/>
          <w:sz w:val="21"/>
          <w:szCs w:val="21"/>
        </w:rPr>
      </w:pPr>
    </w:p>
    <w:p w14:paraId="41126DF2" w14:textId="550A16E1" w:rsidR="00D153A4" w:rsidRDefault="00BF092B" w:rsidP="00BF092B">
      <w:pPr>
        <w:rPr>
          <w:rFonts w:cs="Arial"/>
          <w:sz w:val="21"/>
          <w:szCs w:val="21"/>
        </w:rPr>
      </w:pPr>
      <w:r w:rsidRPr="00BF092B">
        <w:rPr>
          <w:rFonts w:cs="Arial"/>
          <w:sz w:val="21"/>
          <w:szCs w:val="21"/>
        </w:rPr>
        <w:t>Lot 1 and 2 Section 15 Parish of Nillumbik, 320 acres, were sold by the Crown to W.R. Belcher in 1857</w:t>
      </w:r>
      <w:r w:rsidR="00F7673F">
        <w:rPr>
          <w:rFonts w:cs="Arial"/>
          <w:sz w:val="21"/>
          <w:szCs w:val="21"/>
        </w:rPr>
        <w:t xml:space="preserve"> </w:t>
      </w:r>
      <w:r w:rsidR="00F7673F" w:rsidRPr="00824BFA">
        <w:rPr>
          <w:rFonts w:cs="Arial"/>
          <w:sz w:val="21"/>
          <w:szCs w:val="21"/>
        </w:rPr>
        <w:t>(Nillumbik Parish Plan sheet 3).</w:t>
      </w:r>
      <w:r w:rsidR="00F7673F">
        <w:rPr>
          <w:rFonts w:cs="Arial"/>
          <w:sz w:val="21"/>
          <w:szCs w:val="21"/>
        </w:rPr>
        <w:t xml:space="preserve"> </w:t>
      </w:r>
      <w:r w:rsidRPr="00BF092B">
        <w:rPr>
          <w:rFonts w:cs="Arial"/>
          <w:sz w:val="21"/>
          <w:szCs w:val="21"/>
        </w:rPr>
        <w:t>It appears that George D’Arley</w:t>
      </w:r>
      <w:r w:rsidR="00BE3A71">
        <w:rPr>
          <w:rFonts w:cs="Arial"/>
          <w:sz w:val="21"/>
          <w:szCs w:val="21"/>
        </w:rPr>
        <w:t xml:space="preserve"> </w:t>
      </w:r>
      <w:r w:rsidR="00BE3A71" w:rsidRPr="00BF092B">
        <w:rPr>
          <w:rFonts w:cs="Arial"/>
          <w:sz w:val="21"/>
          <w:szCs w:val="21"/>
        </w:rPr>
        <w:t xml:space="preserve">Boursiquot </w:t>
      </w:r>
      <w:r w:rsidR="00BE3A71">
        <w:rPr>
          <w:rFonts w:cs="Arial"/>
          <w:sz w:val="21"/>
          <w:szCs w:val="21"/>
        </w:rPr>
        <w:t xml:space="preserve">(later </w:t>
      </w:r>
      <w:r w:rsidR="00BE3A71" w:rsidRPr="00BF092B">
        <w:rPr>
          <w:rFonts w:cs="Arial"/>
          <w:sz w:val="21"/>
          <w:szCs w:val="21"/>
        </w:rPr>
        <w:t>Bour</w:t>
      </w:r>
      <w:r w:rsidR="0032440A">
        <w:rPr>
          <w:rFonts w:cs="Arial"/>
          <w:sz w:val="21"/>
          <w:szCs w:val="21"/>
        </w:rPr>
        <w:t>c</w:t>
      </w:r>
      <w:r w:rsidR="00BE3A71" w:rsidRPr="00BF092B">
        <w:rPr>
          <w:rFonts w:cs="Arial"/>
          <w:sz w:val="21"/>
          <w:szCs w:val="21"/>
        </w:rPr>
        <w:t>icault</w:t>
      </w:r>
      <w:r w:rsidR="00BE3A71">
        <w:rPr>
          <w:rFonts w:cs="Arial"/>
          <w:sz w:val="21"/>
          <w:szCs w:val="21"/>
        </w:rPr>
        <w:t xml:space="preserve">) </w:t>
      </w:r>
      <w:r w:rsidRPr="00BF092B">
        <w:rPr>
          <w:rFonts w:cs="Arial"/>
          <w:sz w:val="21"/>
          <w:szCs w:val="21"/>
        </w:rPr>
        <w:t xml:space="preserve">had acquired Lots 1 and 2 Section 15 Parish of Nillumbik at some stage. </w:t>
      </w:r>
      <w:r w:rsidR="007F2734">
        <w:rPr>
          <w:rFonts w:cs="Arial"/>
          <w:sz w:val="21"/>
          <w:szCs w:val="21"/>
        </w:rPr>
        <w:t>In</w:t>
      </w:r>
      <w:r w:rsidRPr="00BF092B">
        <w:rPr>
          <w:rFonts w:cs="Arial"/>
          <w:sz w:val="21"/>
          <w:szCs w:val="21"/>
        </w:rPr>
        <w:t xml:space="preserve"> 1904 320 acres of “first class orchard land”</w:t>
      </w:r>
      <w:r w:rsidR="007F2734">
        <w:rPr>
          <w:rFonts w:cs="Arial"/>
          <w:sz w:val="21"/>
          <w:szCs w:val="21"/>
        </w:rPr>
        <w:t>, being</w:t>
      </w:r>
      <w:r w:rsidRPr="00BF092B">
        <w:rPr>
          <w:rFonts w:cs="Arial"/>
          <w:sz w:val="21"/>
          <w:szCs w:val="21"/>
        </w:rPr>
        <w:t xml:space="preserve"> Lots 1 and 2 </w:t>
      </w:r>
      <w:r w:rsidR="007F2734">
        <w:rPr>
          <w:rFonts w:cs="Arial"/>
          <w:sz w:val="21"/>
          <w:szCs w:val="21"/>
        </w:rPr>
        <w:t xml:space="preserve">of </w:t>
      </w:r>
      <w:r w:rsidRPr="00BF092B">
        <w:rPr>
          <w:rFonts w:cs="Arial"/>
          <w:sz w:val="21"/>
          <w:szCs w:val="21"/>
        </w:rPr>
        <w:t>Section 15</w:t>
      </w:r>
      <w:r w:rsidR="007F2734">
        <w:rPr>
          <w:rFonts w:cs="Arial"/>
          <w:sz w:val="21"/>
          <w:szCs w:val="21"/>
        </w:rPr>
        <w:t>,</w:t>
      </w:r>
      <w:r w:rsidRPr="00BF092B">
        <w:rPr>
          <w:rFonts w:cs="Arial"/>
          <w:sz w:val="21"/>
          <w:szCs w:val="21"/>
        </w:rPr>
        <w:t xml:space="preserve"> were offered for sale by the estate of G.D. Bourcicault, in lots from 6 to 16 acres. The land was </w:t>
      </w:r>
      <w:r w:rsidRPr="00293B45">
        <w:rPr>
          <w:rFonts w:cs="Arial"/>
          <w:sz w:val="21"/>
          <w:szCs w:val="21"/>
        </w:rPr>
        <w:t>subdivided into 27 lots, all of which were sold by 1907</w:t>
      </w:r>
      <w:r w:rsidR="004536B9" w:rsidRPr="00293B45">
        <w:rPr>
          <w:rFonts w:cs="Arial"/>
          <w:sz w:val="21"/>
          <w:szCs w:val="21"/>
        </w:rPr>
        <w:t xml:space="preserve"> (</w:t>
      </w:r>
      <w:r w:rsidR="004536B9" w:rsidRPr="00824BFA">
        <w:rPr>
          <w:rFonts w:cs="Arial"/>
          <w:sz w:val="21"/>
          <w:szCs w:val="21"/>
        </w:rPr>
        <w:t xml:space="preserve">CT V2992 F205; </w:t>
      </w:r>
      <w:r w:rsidR="004536B9" w:rsidRPr="00824BFA">
        <w:rPr>
          <w:rFonts w:cs="Arial"/>
          <w:i/>
          <w:iCs/>
          <w:sz w:val="21"/>
          <w:szCs w:val="21"/>
        </w:rPr>
        <w:t>Age</w:t>
      </w:r>
      <w:r w:rsidR="004536B9" w:rsidRPr="00824BFA">
        <w:rPr>
          <w:rFonts w:cs="Arial"/>
          <w:sz w:val="21"/>
          <w:szCs w:val="21"/>
        </w:rPr>
        <w:t xml:space="preserve"> 4 June 1904:2</w:t>
      </w:r>
      <w:r w:rsidR="004536B9" w:rsidRPr="00293B45">
        <w:rPr>
          <w:rFonts w:cs="Arial"/>
          <w:sz w:val="21"/>
          <w:szCs w:val="21"/>
        </w:rPr>
        <w:t>).</w:t>
      </w:r>
    </w:p>
    <w:p w14:paraId="33ABFED1" w14:textId="77777777" w:rsidR="004D56BF" w:rsidRDefault="004D56BF" w:rsidP="00BF092B">
      <w:pPr>
        <w:rPr>
          <w:rFonts w:cs="Arial"/>
          <w:sz w:val="21"/>
          <w:szCs w:val="21"/>
        </w:rPr>
      </w:pPr>
    </w:p>
    <w:p w14:paraId="1D4FE2EB" w14:textId="297C39D6" w:rsidR="005B4734" w:rsidRPr="00BD2B19" w:rsidRDefault="003D3ED4" w:rsidP="005B4734">
      <w:pPr>
        <w:rPr>
          <w:rFonts w:cs="Arial"/>
          <w:sz w:val="21"/>
          <w:szCs w:val="21"/>
        </w:rPr>
      </w:pPr>
      <w:r w:rsidRPr="003D3ED4">
        <w:rPr>
          <w:rFonts w:cs="Arial"/>
          <w:sz w:val="21"/>
          <w:szCs w:val="21"/>
        </w:rPr>
        <w:t>Lots 4 and 5 of th</w:t>
      </w:r>
      <w:r w:rsidR="007F2734">
        <w:rPr>
          <w:rFonts w:cs="Arial"/>
          <w:sz w:val="21"/>
          <w:szCs w:val="21"/>
        </w:rPr>
        <w:t>is</w:t>
      </w:r>
      <w:r w:rsidR="00354F08">
        <w:rPr>
          <w:rFonts w:cs="Arial"/>
          <w:sz w:val="21"/>
          <w:szCs w:val="21"/>
        </w:rPr>
        <w:t xml:space="preserve"> 1904</w:t>
      </w:r>
      <w:r w:rsidRPr="003D3ED4">
        <w:rPr>
          <w:rFonts w:cs="Arial"/>
          <w:sz w:val="21"/>
          <w:szCs w:val="21"/>
        </w:rPr>
        <w:t xml:space="preserve"> subdivision, </w:t>
      </w:r>
      <w:r w:rsidR="00C30852">
        <w:rPr>
          <w:rFonts w:cs="Arial"/>
          <w:sz w:val="21"/>
          <w:szCs w:val="21"/>
        </w:rPr>
        <w:t xml:space="preserve">totalling </w:t>
      </w:r>
      <w:r w:rsidRPr="003D3ED4">
        <w:rPr>
          <w:rFonts w:cs="Arial"/>
          <w:sz w:val="21"/>
          <w:szCs w:val="21"/>
        </w:rPr>
        <w:t xml:space="preserve">20 acres, were purchased by Henry Coventry of </w:t>
      </w:r>
      <w:r w:rsidRPr="00293B45">
        <w:rPr>
          <w:rFonts w:cs="Arial"/>
          <w:sz w:val="21"/>
          <w:szCs w:val="21"/>
        </w:rPr>
        <w:t>Diamond Creek, carter, in 1906</w:t>
      </w:r>
      <w:r w:rsidR="00BF6332" w:rsidRPr="00293B45">
        <w:rPr>
          <w:rFonts w:cs="Arial"/>
          <w:sz w:val="21"/>
          <w:szCs w:val="21"/>
        </w:rPr>
        <w:t xml:space="preserve"> (</w:t>
      </w:r>
      <w:r w:rsidR="00BF6332" w:rsidRPr="00824BFA">
        <w:rPr>
          <w:rFonts w:cs="Arial"/>
          <w:sz w:val="21"/>
          <w:szCs w:val="21"/>
        </w:rPr>
        <w:t>CT V2992 F205; V3141 F016</w:t>
      </w:r>
      <w:r w:rsidR="00BF6332" w:rsidRPr="00293B45">
        <w:rPr>
          <w:rFonts w:cs="Arial"/>
          <w:sz w:val="21"/>
          <w:szCs w:val="21"/>
        </w:rPr>
        <w:t>).</w:t>
      </w:r>
      <w:r w:rsidRPr="00293B45">
        <w:rPr>
          <w:rFonts w:cs="Arial"/>
          <w:sz w:val="21"/>
          <w:szCs w:val="21"/>
        </w:rPr>
        <w:t xml:space="preserve"> </w:t>
      </w:r>
      <w:r w:rsidR="007B5EFD" w:rsidRPr="00293B45">
        <w:rPr>
          <w:rFonts w:cs="Arial"/>
          <w:sz w:val="21"/>
          <w:szCs w:val="21"/>
        </w:rPr>
        <w:t>T</w:t>
      </w:r>
      <w:r w:rsidR="005B4734" w:rsidRPr="00293B45">
        <w:rPr>
          <w:rFonts w:cs="Arial"/>
          <w:sz w:val="21"/>
          <w:szCs w:val="21"/>
        </w:rPr>
        <w:t xml:space="preserve">he 1907-8 rate book </w:t>
      </w:r>
      <w:r w:rsidR="007B5EFD" w:rsidRPr="00293B45">
        <w:rPr>
          <w:rFonts w:cs="Arial"/>
          <w:sz w:val="21"/>
          <w:szCs w:val="21"/>
        </w:rPr>
        <w:t xml:space="preserve">notes that </w:t>
      </w:r>
      <w:r w:rsidR="005B4734" w:rsidRPr="00293B45">
        <w:rPr>
          <w:rFonts w:cs="Arial"/>
          <w:sz w:val="21"/>
          <w:szCs w:val="21"/>
        </w:rPr>
        <w:t xml:space="preserve">Henry Coventry owned </w:t>
      </w:r>
      <w:r w:rsidR="00354F08" w:rsidRPr="00293B45">
        <w:rPr>
          <w:rFonts w:cs="Arial"/>
          <w:sz w:val="21"/>
          <w:szCs w:val="21"/>
        </w:rPr>
        <w:t>the land</w:t>
      </w:r>
      <w:r w:rsidR="005B4734" w:rsidRPr="00293B45">
        <w:rPr>
          <w:rFonts w:cs="Arial"/>
          <w:sz w:val="21"/>
          <w:szCs w:val="21"/>
        </w:rPr>
        <w:t xml:space="preserve"> with a house </w:t>
      </w:r>
      <w:r w:rsidR="00354F08" w:rsidRPr="00293B45">
        <w:rPr>
          <w:rFonts w:cs="Arial"/>
          <w:sz w:val="21"/>
          <w:szCs w:val="21"/>
        </w:rPr>
        <w:t xml:space="preserve">that had </w:t>
      </w:r>
      <w:r w:rsidR="005B4734" w:rsidRPr="00293B45">
        <w:rPr>
          <w:rFonts w:cs="Arial"/>
          <w:sz w:val="21"/>
          <w:szCs w:val="21"/>
        </w:rPr>
        <w:t>a NAV</w:t>
      </w:r>
      <w:r w:rsidR="00354F08" w:rsidRPr="00293B45">
        <w:rPr>
          <w:rFonts w:cs="Arial"/>
          <w:sz w:val="21"/>
          <w:szCs w:val="21"/>
        </w:rPr>
        <w:t xml:space="preserve"> of</w:t>
      </w:r>
      <w:r w:rsidR="005B4734" w:rsidRPr="00293B45">
        <w:rPr>
          <w:rFonts w:cs="Arial"/>
          <w:sz w:val="21"/>
          <w:szCs w:val="21"/>
        </w:rPr>
        <w:t xml:space="preserve"> £15</w:t>
      </w:r>
      <w:r w:rsidR="0029189B" w:rsidRPr="00293B45">
        <w:rPr>
          <w:rFonts w:cs="Arial"/>
          <w:sz w:val="21"/>
          <w:szCs w:val="21"/>
        </w:rPr>
        <w:t xml:space="preserve"> (</w:t>
      </w:r>
      <w:r w:rsidR="00290569" w:rsidRPr="00824BFA">
        <w:rPr>
          <w:rFonts w:cs="Arial"/>
          <w:sz w:val="21"/>
          <w:szCs w:val="21"/>
        </w:rPr>
        <w:t>RB 1907-08</w:t>
      </w:r>
      <w:r w:rsidR="00290569" w:rsidRPr="00293B45">
        <w:rPr>
          <w:rFonts w:cs="Arial"/>
          <w:sz w:val="21"/>
          <w:szCs w:val="21"/>
        </w:rPr>
        <w:t>).</w:t>
      </w:r>
      <w:r w:rsidR="005B4734" w:rsidRPr="00293B45">
        <w:rPr>
          <w:rFonts w:cs="Arial"/>
          <w:sz w:val="21"/>
          <w:szCs w:val="21"/>
        </w:rPr>
        <w:t xml:space="preserve"> This indicates</w:t>
      </w:r>
      <w:r w:rsidR="005B4734" w:rsidRPr="005B4734">
        <w:rPr>
          <w:rFonts w:cs="Arial"/>
          <w:sz w:val="21"/>
          <w:szCs w:val="21"/>
        </w:rPr>
        <w:t xml:space="preserve"> a house was </w:t>
      </w:r>
      <w:r w:rsidR="005B4734" w:rsidRPr="00BD2B19">
        <w:rPr>
          <w:rFonts w:cs="Arial"/>
          <w:sz w:val="21"/>
          <w:szCs w:val="21"/>
        </w:rPr>
        <w:t>built on the property between 1906 and 1907.</w:t>
      </w:r>
      <w:r w:rsidR="00290569" w:rsidRPr="00BD2B19">
        <w:rPr>
          <w:rFonts w:cs="Arial"/>
          <w:sz w:val="21"/>
          <w:szCs w:val="21"/>
        </w:rPr>
        <w:t xml:space="preserve"> </w:t>
      </w:r>
    </w:p>
    <w:p w14:paraId="1CC11D33" w14:textId="77777777" w:rsidR="005B4734" w:rsidRPr="00BD2B19" w:rsidRDefault="005B4734" w:rsidP="005B4734">
      <w:pPr>
        <w:rPr>
          <w:rFonts w:cs="Arial"/>
          <w:sz w:val="21"/>
          <w:szCs w:val="21"/>
        </w:rPr>
      </w:pPr>
    </w:p>
    <w:p w14:paraId="3EAB1237" w14:textId="0846AE31" w:rsidR="005B4734" w:rsidRPr="00D60670" w:rsidRDefault="005B4734" w:rsidP="005B4734">
      <w:pPr>
        <w:rPr>
          <w:rFonts w:cs="Arial"/>
          <w:sz w:val="21"/>
          <w:szCs w:val="21"/>
        </w:rPr>
      </w:pPr>
      <w:r w:rsidRPr="00BD2B19">
        <w:rPr>
          <w:rFonts w:cs="Arial"/>
          <w:sz w:val="21"/>
          <w:szCs w:val="21"/>
        </w:rPr>
        <w:t>By 1916 the property was known as ‘Gracedale’</w:t>
      </w:r>
      <w:r w:rsidR="00AE3A20" w:rsidRPr="00BD2B19">
        <w:rPr>
          <w:rFonts w:cs="Arial"/>
          <w:sz w:val="21"/>
          <w:szCs w:val="21"/>
        </w:rPr>
        <w:t xml:space="preserve"> (</w:t>
      </w:r>
      <w:r w:rsidR="00AE3A20" w:rsidRPr="00824BFA">
        <w:rPr>
          <w:rFonts w:cs="Arial"/>
          <w:i/>
          <w:iCs/>
          <w:sz w:val="21"/>
          <w:szCs w:val="21"/>
        </w:rPr>
        <w:t>Argus</w:t>
      </w:r>
      <w:r w:rsidR="00AE3A20" w:rsidRPr="00824BFA">
        <w:rPr>
          <w:rFonts w:cs="Arial"/>
          <w:sz w:val="21"/>
          <w:szCs w:val="21"/>
        </w:rPr>
        <w:t xml:space="preserve"> 27 January 1917:1</w:t>
      </w:r>
      <w:r w:rsidR="00AE3A20" w:rsidRPr="00BD2B19">
        <w:rPr>
          <w:rFonts w:cs="Arial"/>
          <w:sz w:val="21"/>
          <w:szCs w:val="21"/>
        </w:rPr>
        <w:t>).</w:t>
      </w:r>
      <w:r w:rsidRPr="00BD2B19">
        <w:rPr>
          <w:rFonts w:cs="Arial"/>
          <w:sz w:val="21"/>
          <w:szCs w:val="21"/>
        </w:rPr>
        <w:t xml:space="preserve"> In the rate book </w:t>
      </w:r>
      <w:r w:rsidR="0003330A" w:rsidRPr="00BD2B19">
        <w:rPr>
          <w:rFonts w:cs="Arial"/>
          <w:sz w:val="21"/>
          <w:szCs w:val="21"/>
        </w:rPr>
        <w:t xml:space="preserve">of 1919-20 </w:t>
      </w:r>
      <w:r w:rsidRPr="00BD2B19">
        <w:rPr>
          <w:rFonts w:cs="Arial"/>
          <w:sz w:val="21"/>
          <w:szCs w:val="21"/>
        </w:rPr>
        <w:t>the house and land had a NAV of £19, indicating little had changed</w:t>
      </w:r>
      <w:r w:rsidR="002F1E56" w:rsidRPr="00BD2B19">
        <w:rPr>
          <w:rFonts w:cs="Arial"/>
          <w:sz w:val="21"/>
          <w:szCs w:val="21"/>
        </w:rPr>
        <w:t xml:space="preserve"> (</w:t>
      </w:r>
      <w:r w:rsidR="002F1E56" w:rsidRPr="00824BFA">
        <w:rPr>
          <w:rFonts w:cs="Arial"/>
          <w:sz w:val="21"/>
          <w:szCs w:val="21"/>
        </w:rPr>
        <w:t>RB 1919-20</w:t>
      </w:r>
      <w:r w:rsidR="002F1E56" w:rsidRPr="00BD2B19">
        <w:rPr>
          <w:rFonts w:cs="Arial"/>
          <w:sz w:val="21"/>
          <w:szCs w:val="21"/>
        </w:rPr>
        <w:t>).</w:t>
      </w:r>
      <w:r w:rsidRPr="00BD2B19">
        <w:rPr>
          <w:rFonts w:cs="Arial"/>
          <w:sz w:val="21"/>
          <w:szCs w:val="21"/>
        </w:rPr>
        <w:t xml:space="preserve"> </w:t>
      </w:r>
      <w:r w:rsidR="008F788A" w:rsidRPr="00BD2B19">
        <w:rPr>
          <w:rFonts w:cs="Arial"/>
          <w:sz w:val="21"/>
          <w:szCs w:val="21"/>
        </w:rPr>
        <w:t xml:space="preserve">By </w:t>
      </w:r>
      <w:r w:rsidRPr="00BD2B19">
        <w:rPr>
          <w:rFonts w:cs="Arial"/>
          <w:sz w:val="21"/>
          <w:szCs w:val="21"/>
        </w:rPr>
        <w:t>1922/23 the NAV ha</w:t>
      </w:r>
      <w:r w:rsidR="0003330A" w:rsidRPr="00BD2B19">
        <w:rPr>
          <w:rFonts w:cs="Arial"/>
          <w:sz w:val="21"/>
          <w:szCs w:val="21"/>
        </w:rPr>
        <w:t>d</w:t>
      </w:r>
      <w:r w:rsidRPr="00BD2B19">
        <w:rPr>
          <w:rFonts w:cs="Arial"/>
          <w:sz w:val="21"/>
          <w:szCs w:val="21"/>
        </w:rPr>
        <w:t xml:space="preserve"> risen to £30, indicating investment </w:t>
      </w:r>
      <w:r w:rsidR="00482482" w:rsidRPr="00BD2B19">
        <w:rPr>
          <w:rFonts w:cs="Arial"/>
          <w:sz w:val="21"/>
          <w:szCs w:val="21"/>
        </w:rPr>
        <w:t xml:space="preserve">in either </w:t>
      </w:r>
      <w:r w:rsidRPr="00BD2B19">
        <w:rPr>
          <w:rFonts w:cs="Arial"/>
          <w:sz w:val="21"/>
          <w:szCs w:val="21"/>
        </w:rPr>
        <w:t xml:space="preserve">a new house or extension, and/or in </w:t>
      </w:r>
      <w:r w:rsidR="0003330A" w:rsidRPr="00BD2B19">
        <w:rPr>
          <w:rFonts w:cs="Arial"/>
          <w:sz w:val="21"/>
          <w:szCs w:val="21"/>
        </w:rPr>
        <w:t xml:space="preserve">the </w:t>
      </w:r>
      <w:r w:rsidRPr="00BD2B19">
        <w:rPr>
          <w:rFonts w:cs="Arial"/>
          <w:sz w:val="21"/>
          <w:szCs w:val="21"/>
        </w:rPr>
        <w:t>orchards</w:t>
      </w:r>
      <w:r w:rsidR="002F1E56" w:rsidRPr="00BD2B19">
        <w:rPr>
          <w:rFonts w:cs="Arial"/>
          <w:sz w:val="21"/>
          <w:szCs w:val="21"/>
        </w:rPr>
        <w:t xml:space="preserve"> (</w:t>
      </w:r>
      <w:r w:rsidR="00916AAC" w:rsidRPr="00824BFA">
        <w:rPr>
          <w:rFonts w:cs="Arial"/>
          <w:sz w:val="21"/>
          <w:szCs w:val="21"/>
        </w:rPr>
        <w:t>RB 1922-1923</w:t>
      </w:r>
      <w:r w:rsidR="00916AAC" w:rsidRPr="00BD2B19">
        <w:rPr>
          <w:rFonts w:cs="Arial"/>
          <w:sz w:val="21"/>
          <w:szCs w:val="21"/>
        </w:rPr>
        <w:t>).</w:t>
      </w:r>
      <w:r w:rsidRPr="00BD2B19">
        <w:rPr>
          <w:rFonts w:cs="Arial"/>
          <w:sz w:val="21"/>
          <w:szCs w:val="21"/>
        </w:rPr>
        <w:t xml:space="preserve"> The 1925-26 rate book shows another rise, to £37, </w:t>
      </w:r>
      <w:r w:rsidR="0003330A" w:rsidRPr="00BD2B19">
        <w:rPr>
          <w:rFonts w:cs="Arial"/>
          <w:sz w:val="21"/>
          <w:szCs w:val="21"/>
        </w:rPr>
        <w:t xml:space="preserve">indicating </w:t>
      </w:r>
      <w:r w:rsidRPr="00BD2B19">
        <w:rPr>
          <w:rFonts w:cs="Arial"/>
          <w:sz w:val="21"/>
          <w:szCs w:val="21"/>
        </w:rPr>
        <w:t>further improvements</w:t>
      </w:r>
      <w:r w:rsidR="00916AAC" w:rsidRPr="00BD2B19">
        <w:rPr>
          <w:rFonts w:cs="Arial"/>
          <w:sz w:val="21"/>
          <w:szCs w:val="21"/>
        </w:rPr>
        <w:t xml:space="preserve"> (</w:t>
      </w:r>
      <w:r w:rsidR="000D3FEE" w:rsidRPr="00824BFA">
        <w:rPr>
          <w:rFonts w:cs="Arial"/>
          <w:sz w:val="21"/>
          <w:szCs w:val="21"/>
        </w:rPr>
        <w:t>RB 1925-26).</w:t>
      </w:r>
      <w:r w:rsidR="000D3FEE" w:rsidRPr="00BD2B19">
        <w:rPr>
          <w:rFonts w:cs="Arial"/>
          <w:sz w:val="21"/>
          <w:szCs w:val="21"/>
        </w:rPr>
        <w:t xml:space="preserve"> </w:t>
      </w:r>
      <w:r w:rsidRPr="00BD2B19">
        <w:rPr>
          <w:rFonts w:cs="Arial"/>
          <w:sz w:val="21"/>
          <w:szCs w:val="21"/>
        </w:rPr>
        <w:t xml:space="preserve">A house is shown in the position of the current house on </w:t>
      </w:r>
      <w:r w:rsidR="0003330A" w:rsidRPr="00BD2B19">
        <w:rPr>
          <w:rFonts w:cs="Arial"/>
          <w:sz w:val="21"/>
          <w:szCs w:val="21"/>
        </w:rPr>
        <w:t xml:space="preserve">a </w:t>
      </w:r>
      <w:r w:rsidRPr="00BD2B19">
        <w:rPr>
          <w:rFonts w:cs="Arial"/>
          <w:sz w:val="21"/>
          <w:szCs w:val="21"/>
        </w:rPr>
        <w:t>1920 topographic map</w:t>
      </w:r>
      <w:r w:rsidR="0003330A" w:rsidRPr="00BD2B19">
        <w:rPr>
          <w:rFonts w:cs="Arial"/>
          <w:sz w:val="21"/>
          <w:szCs w:val="21"/>
        </w:rPr>
        <w:t>, while</w:t>
      </w:r>
      <w:r w:rsidRPr="00BD2B19">
        <w:rPr>
          <w:rFonts w:cs="Arial"/>
          <w:sz w:val="21"/>
          <w:szCs w:val="21"/>
        </w:rPr>
        <w:t xml:space="preserve"> </w:t>
      </w:r>
      <w:r w:rsidR="0003330A" w:rsidRPr="00BD2B19">
        <w:rPr>
          <w:rFonts w:cs="Arial"/>
          <w:sz w:val="21"/>
          <w:szCs w:val="21"/>
        </w:rPr>
        <w:t>e</w:t>
      </w:r>
      <w:r w:rsidRPr="00BD2B19">
        <w:rPr>
          <w:rFonts w:cs="Arial"/>
          <w:sz w:val="21"/>
          <w:szCs w:val="21"/>
        </w:rPr>
        <w:t>xtensive</w:t>
      </w:r>
      <w:r w:rsidRPr="005B4734">
        <w:rPr>
          <w:rFonts w:cs="Arial"/>
          <w:sz w:val="21"/>
          <w:szCs w:val="21"/>
        </w:rPr>
        <w:t xml:space="preserve"> </w:t>
      </w:r>
      <w:r w:rsidRPr="00D60670">
        <w:rPr>
          <w:rFonts w:cs="Arial"/>
          <w:sz w:val="21"/>
          <w:szCs w:val="21"/>
        </w:rPr>
        <w:t xml:space="preserve">orchards are shown </w:t>
      </w:r>
      <w:r w:rsidR="0003330A" w:rsidRPr="00D60670">
        <w:rPr>
          <w:rFonts w:cs="Arial"/>
          <w:sz w:val="21"/>
          <w:szCs w:val="21"/>
        </w:rPr>
        <w:t xml:space="preserve">at the site </w:t>
      </w:r>
      <w:r w:rsidRPr="00D60670">
        <w:rPr>
          <w:rFonts w:cs="Arial"/>
          <w:sz w:val="21"/>
          <w:szCs w:val="21"/>
        </w:rPr>
        <w:t xml:space="preserve">on </w:t>
      </w:r>
      <w:r w:rsidR="0003330A" w:rsidRPr="00D60670">
        <w:rPr>
          <w:rFonts w:cs="Arial"/>
          <w:sz w:val="21"/>
          <w:szCs w:val="21"/>
        </w:rPr>
        <w:t xml:space="preserve">a </w:t>
      </w:r>
      <w:r w:rsidRPr="00D60670">
        <w:rPr>
          <w:rFonts w:cs="Arial"/>
          <w:sz w:val="21"/>
          <w:szCs w:val="21"/>
        </w:rPr>
        <w:t>193</w:t>
      </w:r>
      <w:r w:rsidR="00B57569" w:rsidRPr="00D60670">
        <w:rPr>
          <w:rFonts w:cs="Arial"/>
          <w:sz w:val="21"/>
          <w:szCs w:val="21"/>
        </w:rPr>
        <w:t>5</w:t>
      </w:r>
      <w:r w:rsidRPr="00D60670">
        <w:rPr>
          <w:rFonts w:cs="Arial"/>
          <w:sz w:val="21"/>
          <w:szCs w:val="21"/>
        </w:rPr>
        <w:t xml:space="preserve"> topographic map</w:t>
      </w:r>
      <w:r w:rsidR="00520720" w:rsidRPr="00D60670">
        <w:rPr>
          <w:rFonts w:cs="Arial"/>
          <w:sz w:val="21"/>
          <w:szCs w:val="21"/>
        </w:rPr>
        <w:t xml:space="preserve"> (</w:t>
      </w:r>
      <w:r w:rsidR="00D5339A" w:rsidRPr="00824BFA">
        <w:rPr>
          <w:rFonts w:cs="Arial"/>
          <w:sz w:val="21"/>
          <w:szCs w:val="21"/>
        </w:rPr>
        <w:t>Commonwealth of Australia 1920</w:t>
      </w:r>
      <w:r w:rsidR="004614F1" w:rsidRPr="00824BFA">
        <w:rPr>
          <w:rFonts w:cs="Arial"/>
          <w:sz w:val="21"/>
          <w:szCs w:val="21"/>
        </w:rPr>
        <w:t>;</w:t>
      </w:r>
      <w:r w:rsidR="0034121E" w:rsidRPr="00824BFA">
        <w:rPr>
          <w:rFonts w:cs="Arial"/>
          <w:sz w:val="21"/>
          <w:szCs w:val="21"/>
        </w:rPr>
        <w:t xml:space="preserve"> </w:t>
      </w:r>
      <w:r w:rsidR="00D60670" w:rsidRPr="00824BFA">
        <w:rPr>
          <w:rFonts w:cs="Arial"/>
          <w:sz w:val="21"/>
          <w:szCs w:val="21"/>
        </w:rPr>
        <w:t>1935</w:t>
      </w:r>
      <w:r w:rsidR="0034121E" w:rsidRPr="00D60670">
        <w:rPr>
          <w:rFonts w:cs="Arial"/>
          <w:sz w:val="21"/>
          <w:szCs w:val="21"/>
        </w:rPr>
        <w:t xml:space="preserve">). </w:t>
      </w:r>
    </w:p>
    <w:p w14:paraId="43E6A531" w14:textId="77777777" w:rsidR="005B4734" w:rsidRPr="005B4734" w:rsidRDefault="005B4734" w:rsidP="005B4734">
      <w:pPr>
        <w:rPr>
          <w:rFonts w:cs="Arial"/>
          <w:sz w:val="21"/>
          <w:szCs w:val="21"/>
        </w:rPr>
      </w:pPr>
    </w:p>
    <w:p w14:paraId="604294ED" w14:textId="5134C824" w:rsidR="00EC71B0" w:rsidRDefault="005B4734" w:rsidP="005B4734">
      <w:pPr>
        <w:rPr>
          <w:rFonts w:cs="Arial"/>
          <w:sz w:val="21"/>
          <w:szCs w:val="21"/>
        </w:rPr>
      </w:pPr>
      <w:r w:rsidRPr="005B4734">
        <w:rPr>
          <w:rFonts w:cs="Arial"/>
          <w:sz w:val="21"/>
          <w:szCs w:val="21"/>
        </w:rPr>
        <w:t>In 1935 Henry Coventry’s property</w:t>
      </w:r>
      <w:r w:rsidR="0003330A">
        <w:rPr>
          <w:rFonts w:cs="Arial"/>
          <w:sz w:val="21"/>
          <w:szCs w:val="21"/>
        </w:rPr>
        <w:t xml:space="preserve"> </w:t>
      </w:r>
      <w:r w:rsidRPr="005B4734">
        <w:rPr>
          <w:rFonts w:cs="Arial"/>
          <w:sz w:val="21"/>
          <w:szCs w:val="21"/>
        </w:rPr>
        <w:t xml:space="preserve">was offered for sale. </w:t>
      </w:r>
      <w:r w:rsidR="0003330A">
        <w:rPr>
          <w:rFonts w:cs="Arial"/>
          <w:sz w:val="21"/>
          <w:szCs w:val="21"/>
        </w:rPr>
        <w:t>The property</w:t>
      </w:r>
      <w:r w:rsidR="0003330A" w:rsidRPr="005B4734">
        <w:rPr>
          <w:rFonts w:cs="Arial"/>
          <w:sz w:val="21"/>
          <w:szCs w:val="21"/>
        </w:rPr>
        <w:t xml:space="preserve"> </w:t>
      </w:r>
      <w:r w:rsidRPr="005B4734">
        <w:rPr>
          <w:rFonts w:cs="Arial"/>
          <w:sz w:val="21"/>
          <w:szCs w:val="21"/>
        </w:rPr>
        <w:t xml:space="preserve">included a </w:t>
      </w:r>
      <w:r w:rsidR="0003330A">
        <w:rPr>
          <w:rFonts w:cs="Arial"/>
          <w:sz w:val="21"/>
          <w:szCs w:val="21"/>
        </w:rPr>
        <w:t>five</w:t>
      </w:r>
      <w:r w:rsidRPr="005B4734">
        <w:rPr>
          <w:rFonts w:cs="Arial"/>
          <w:sz w:val="21"/>
          <w:szCs w:val="21"/>
        </w:rPr>
        <w:t xml:space="preserve">-roomed dwelling, </w:t>
      </w:r>
      <w:r w:rsidR="0003330A">
        <w:rPr>
          <w:rFonts w:cs="Arial"/>
          <w:sz w:val="21"/>
          <w:szCs w:val="21"/>
        </w:rPr>
        <w:t>seven</w:t>
      </w:r>
      <w:r w:rsidRPr="005B4734">
        <w:rPr>
          <w:rFonts w:cs="Arial"/>
          <w:sz w:val="21"/>
          <w:szCs w:val="21"/>
        </w:rPr>
        <w:t xml:space="preserve"> acres of orchard, </w:t>
      </w:r>
      <w:r w:rsidR="0003330A">
        <w:rPr>
          <w:rFonts w:cs="Arial"/>
          <w:sz w:val="21"/>
          <w:szCs w:val="21"/>
        </w:rPr>
        <w:t>six</w:t>
      </w:r>
      <w:r w:rsidRPr="005B4734">
        <w:rPr>
          <w:rFonts w:cs="Arial"/>
          <w:sz w:val="21"/>
          <w:szCs w:val="21"/>
        </w:rPr>
        <w:t xml:space="preserve"> acres of cultivation and </w:t>
      </w:r>
      <w:r w:rsidR="0003330A">
        <w:rPr>
          <w:rFonts w:cs="Arial"/>
          <w:sz w:val="21"/>
          <w:szCs w:val="21"/>
        </w:rPr>
        <w:t>seven</w:t>
      </w:r>
      <w:r w:rsidRPr="005B4734">
        <w:rPr>
          <w:rFonts w:cs="Arial"/>
          <w:sz w:val="21"/>
          <w:szCs w:val="21"/>
        </w:rPr>
        <w:t xml:space="preserve"> acres of grass and timber. Farming implements were also sold, indicating the Coventry family were </w:t>
      </w:r>
      <w:r w:rsidR="0003330A">
        <w:rPr>
          <w:rFonts w:cs="Arial"/>
          <w:sz w:val="21"/>
          <w:szCs w:val="21"/>
        </w:rPr>
        <w:t>leaving</w:t>
      </w:r>
      <w:r w:rsidRPr="005B4734">
        <w:rPr>
          <w:rFonts w:cs="Arial"/>
          <w:sz w:val="21"/>
          <w:szCs w:val="21"/>
        </w:rPr>
        <w:t xml:space="preserve"> the </w:t>
      </w:r>
      <w:r w:rsidRPr="00B12673">
        <w:rPr>
          <w:rFonts w:cs="Arial"/>
          <w:sz w:val="21"/>
          <w:szCs w:val="21"/>
        </w:rPr>
        <w:t>district</w:t>
      </w:r>
      <w:r w:rsidR="00292BA9" w:rsidRPr="00B12673">
        <w:rPr>
          <w:rFonts w:cs="Arial"/>
          <w:sz w:val="21"/>
          <w:szCs w:val="21"/>
        </w:rPr>
        <w:t xml:space="preserve"> (</w:t>
      </w:r>
      <w:r w:rsidR="00292BA9" w:rsidRPr="00824BFA">
        <w:rPr>
          <w:rFonts w:cs="Arial"/>
          <w:i/>
          <w:iCs/>
          <w:sz w:val="21"/>
          <w:szCs w:val="21"/>
        </w:rPr>
        <w:t>Advertiser</w:t>
      </w:r>
      <w:r w:rsidR="00292BA9" w:rsidRPr="00824BFA">
        <w:rPr>
          <w:rFonts w:cs="Arial"/>
          <w:sz w:val="21"/>
          <w:szCs w:val="21"/>
        </w:rPr>
        <w:t xml:space="preserve"> (Hurstbridge) 18 January 1935:8</w:t>
      </w:r>
      <w:r w:rsidR="00292BA9" w:rsidRPr="00B12673">
        <w:rPr>
          <w:rFonts w:cs="Arial"/>
          <w:sz w:val="21"/>
          <w:szCs w:val="21"/>
        </w:rPr>
        <w:t>).</w:t>
      </w:r>
      <w:r w:rsidRPr="005B4734">
        <w:rPr>
          <w:rFonts w:cs="Arial"/>
          <w:sz w:val="21"/>
          <w:szCs w:val="21"/>
        </w:rPr>
        <w:t xml:space="preserve"> </w:t>
      </w:r>
    </w:p>
    <w:p w14:paraId="657F93A2" w14:textId="77777777" w:rsidR="005B4734" w:rsidRDefault="005B4734" w:rsidP="005B4734">
      <w:pPr>
        <w:rPr>
          <w:rFonts w:cs="Arial"/>
          <w:sz w:val="21"/>
          <w:szCs w:val="21"/>
        </w:rPr>
      </w:pPr>
    </w:p>
    <w:p w14:paraId="0A8DC686" w14:textId="6202EA87" w:rsidR="005B4734" w:rsidRDefault="00AE6279" w:rsidP="00B500FF">
      <w:pPr>
        <w:rPr>
          <w:rFonts w:cs="Arial"/>
          <w:sz w:val="21"/>
          <w:szCs w:val="21"/>
        </w:rPr>
      </w:pPr>
      <w:r w:rsidRPr="00AE6279">
        <w:rPr>
          <w:rFonts w:cs="Arial"/>
          <w:sz w:val="21"/>
          <w:szCs w:val="21"/>
        </w:rPr>
        <w:t xml:space="preserve">Alison Stewart Davis of Kew purchased the property in </w:t>
      </w:r>
      <w:r w:rsidRPr="00B12673">
        <w:rPr>
          <w:rFonts w:cs="Arial"/>
          <w:sz w:val="21"/>
          <w:szCs w:val="21"/>
        </w:rPr>
        <w:t>1935</w:t>
      </w:r>
      <w:r w:rsidR="008654A6" w:rsidRPr="00B12673">
        <w:rPr>
          <w:rFonts w:cs="Arial"/>
          <w:sz w:val="21"/>
          <w:szCs w:val="21"/>
        </w:rPr>
        <w:t xml:space="preserve"> (</w:t>
      </w:r>
      <w:r w:rsidR="008654A6" w:rsidRPr="00824BFA">
        <w:rPr>
          <w:rFonts w:cs="Arial"/>
          <w:sz w:val="21"/>
          <w:szCs w:val="21"/>
        </w:rPr>
        <w:t>CT V3141 F016</w:t>
      </w:r>
      <w:r w:rsidR="008654A6" w:rsidRPr="00B12673">
        <w:rPr>
          <w:rFonts w:cs="Arial"/>
          <w:sz w:val="21"/>
          <w:szCs w:val="21"/>
        </w:rPr>
        <w:t>).</w:t>
      </w:r>
      <w:r w:rsidRPr="00B12673">
        <w:rPr>
          <w:rFonts w:cs="Arial"/>
          <w:sz w:val="21"/>
          <w:szCs w:val="21"/>
        </w:rPr>
        <w:t xml:space="preserve"> Alison</w:t>
      </w:r>
      <w:r w:rsidRPr="00AE6279">
        <w:rPr>
          <w:rFonts w:cs="Arial"/>
          <w:sz w:val="21"/>
          <w:szCs w:val="21"/>
        </w:rPr>
        <w:t xml:space="preserve"> had married Harold Carmichael Davis </w:t>
      </w:r>
      <w:r w:rsidRPr="00D431AD">
        <w:rPr>
          <w:rFonts w:cs="Arial"/>
          <w:sz w:val="21"/>
          <w:szCs w:val="21"/>
        </w:rPr>
        <w:t>in 1930</w:t>
      </w:r>
      <w:r w:rsidR="00553D96" w:rsidRPr="00D431AD">
        <w:rPr>
          <w:rFonts w:cs="Arial"/>
          <w:sz w:val="21"/>
          <w:szCs w:val="21"/>
        </w:rPr>
        <w:t xml:space="preserve">, who had previously been a soldier settler on a sheep property in the Glenorchy area </w:t>
      </w:r>
      <w:r w:rsidR="006A1D15" w:rsidRPr="00D431AD">
        <w:rPr>
          <w:rFonts w:cs="Arial"/>
          <w:sz w:val="21"/>
          <w:szCs w:val="21"/>
        </w:rPr>
        <w:t>(</w:t>
      </w:r>
      <w:r w:rsidR="006A1D15" w:rsidRPr="00824BFA">
        <w:rPr>
          <w:rFonts w:cs="Arial"/>
          <w:sz w:val="21"/>
          <w:szCs w:val="21"/>
        </w:rPr>
        <w:t>BDM 425/1930</w:t>
      </w:r>
      <w:r w:rsidR="00896800" w:rsidRPr="00D431AD">
        <w:rPr>
          <w:rFonts w:cs="Arial"/>
          <w:sz w:val="21"/>
          <w:szCs w:val="21"/>
        </w:rPr>
        <w:t>;</w:t>
      </w:r>
      <w:r w:rsidR="00734EEB" w:rsidRPr="00D431AD">
        <w:rPr>
          <w:rFonts w:cs="Arial"/>
          <w:sz w:val="21"/>
          <w:szCs w:val="21"/>
        </w:rPr>
        <w:t xml:space="preserve"> </w:t>
      </w:r>
      <w:r w:rsidR="00221F2C" w:rsidRPr="00D431AD">
        <w:rPr>
          <w:rFonts w:cs="Arial"/>
          <w:sz w:val="21"/>
          <w:szCs w:val="21"/>
        </w:rPr>
        <w:t>Battle</w:t>
      </w:r>
      <w:r w:rsidR="00221F2C" w:rsidRPr="00B12673">
        <w:rPr>
          <w:rFonts w:cs="Arial"/>
          <w:sz w:val="21"/>
          <w:szCs w:val="21"/>
        </w:rPr>
        <w:t xml:space="preserve"> to Farm </w:t>
      </w:r>
      <w:r w:rsidR="00992D83" w:rsidRPr="00B12673">
        <w:rPr>
          <w:rFonts w:cs="Arial"/>
          <w:sz w:val="21"/>
          <w:szCs w:val="21"/>
        </w:rPr>
        <w:t>2022).</w:t>
      </w:r>
      <w:r w:rsidR="00F71988">
        <w:rPr>
          <w:rFonts w:cs="Arial"/>
          <w:sz w:val="21"/>
          <w:szCs w:val="21"/>
        </w:rPr>
        <w:t xml:space="preserve"> </w:t>
      </w:r>
      <w:r w:rsidR="00F57C83">
        <w:rPr>
          <w:rFonts w:cs="Arial"/>
          <w:sz w:val="21"/>
          <w:szCs w:val="21"/>
        </w:rPr>
        <w:t>The Davises</w:t>
      </w:r>
      <w:r w:rsidRPr="00B500FF">
        <w:rPr>
          <w:rFonts w:cs="Arial"/>
          <w:sz w:val="21"/>
          <w:szCs w:val="21"/>
        </w:rPr>
        <w:t xml:space="preserve"> </w:t>
      </w:r>
      <w:r w:rsidRPr="00B500FF">
        <w:rPr>
          <w:rFonts w:cs="Arial"/>
          <w:sz w:val="21"/>
          <w:szCs w:val="21"/>
        </w:rPr>
        <w:lastRenderedPageBreak/>
        <w:t xml:space="preserve">made the </w:t>
      </w:r>
      <w:r w:rsidR="00B7509E">
        <w:rPr>
          <w:rFonts w:cs="Arial"/>
          <w:sz w:val="21"/>
          <w:szCs w:val="21"/>
        </w:rPr>
        <w:t>subject site</w:t>
      </w:r>
      <w:r w:rsidR="00B7509E" w:rsidRPr="00B500FF">
        <w:rPr>
          <w:rFonts w:cs="Arial"/>
          <w:sz w:val="21"/>
          <w:szCs w:val="21"/>
        </w:rPr>
        <w:t xml:space="preserve"> </w:t>
      </w:r>
      <w:r w:rsidRPr="00B500FF">
        <w:rPr>
          <w:rFonts w:cs="Arial"/>
          <w:sz w:val="21"/>
          <w:szCs w:val="21"/>
        </w:rPr>
        <w:t xml:space="preserve">their residence and renamed it ‘Harton Hills’, </w:t>
      </w:r>
      <w:r w:rsidR="00B7509E">
        <w:rPr>
          <w:rFonts w:cs="Arial"/>
          <w:sz w:val="21"/>
          <w:szCs w:val="21"/>
        </w:rPr>
        <w:t>possibly</w:t>
      </w:r>
      <w:r w:rsidR="00B7509E" w:rsidRPr="00B500FF">
        <w:rPr>
          <w:rFonts w:cs="Arial"/>
          <w:sz w:val="21"/>
          <w:szCs w:val="21"/>
        </w:rPr>
        <w:t xml:space="preserve"> </w:t>
      </w:r>
      <w:r w:rsidRPr="00B500FF">
        <w:rPr>
          <w:rFonts w:cs="Arial"/>
          <w:sz w:val="21"/>
          <w:szCs w:val="21"/>
        </w:rPr>
        <w:t xml:space="preserve">after </w:t>
      </w:r>
      <w:r w:rsidR="005172B6">
        <w:rPr>
          <w:rFonts w:cs="Arial"/>
          <w:sz w:val="21"/>
          <w:szCs w:val="21"/>
        </w:rPr>
        <w:t>a</w:t>
      </w:r>
      <w:r w:rsidR="005172B6" w:rsidRPr="00B500FF">
        <w:rPr>
          <w:rFonts w:cs="Arial"/>
          <w:sz w:val="21"/>
          <w:szCs w:val="21"/>
        </w:rPr>
        <w:t xml:space="preserve"> </w:t>
      </w:r>
      <w:r w:rsidRPr="00B500FF">
        <w:rPr>
          <w:rFonts w:cs="Arial"/>
          <w:sz w:val="21"/>
          <w:szCs w:val="21"/>
        </w:rPr>
        <w:t>Western District estate</w:t>
      </w:r>
      <w:r w:rsidR="00B7509E">
        <w:rPr>
          <w:rFonts w:cs="Arial"/>
          <w:sz w:val="21"/>
          <w:szCs w:val="21"/>
        </w:rPr>
        <w:t xml:space="preserve"> of the same name</w:t>
      </w:r>
      <w:r w:rsidRPr="00B500FF">
        <w:rPr>
          <w:rFonts w:cs="Arial"/>
          <w:sz w:val="21"/>
          <w:szCs w:val="21"/>
        </w:rPr>
        <w:t xml:space="preserve">. </w:t>
      </w:r>
    </w:p>
    <w:p w14:paraId="0D5171E4" w14:textId="77777777" w:rsidR="0046045A" w:rsidRDefault="0046045A" w:rsidP="00B500FF">
      <w:pPr>
        <w:rPr>
          <w:rFonts w:cs="Arial"/>
          <w:sz w:val="21"/>
          <w:szCs w:val="21"/>
        </w:rPr>
      </w:pPr>
    </w:p>
    <w:p w14:paraId="57A23C47" w14:textId="48F64C0C" w:rsidR="0046045A" w:rsidRDefault="008A7DC2" w:rsidP="00B500FF">
      <w:pPr>
        <w:rPr>
          <w:rFonts w:cs="Arial"/>
          <w:sz w:val="21"/>
          <w:szCs w:val="21"/>
        </w:rPr>
      </w:pPr>
      <w:r w:rsidRPr="008A7DC2">
        <w:rPr>
          <w:rFonts w:cs="Arial"/>
          <w:sz w:val="21"/>
          <w:szCs w:val="21"/>
        </w:rPr>
        <w:t>The</w:t>
      </w:r>
      <w:r w:rsidR="00ED53DB">
        <w:rPr>
          <w:rFonts w:cs="Arial"/>
          <w:sz w:val="21"/>
          <w:szCs w:val="21"/>
        </w:rPr>
        <w:t xml:space="preserve"> Davis family</w:t>
      </w:r>
      <w:r w:rsidRPr="008A7DC2">
        <w:rPr>
          <w:rFonts w:cs="Arial"/>
          <w:sz w:val="21"/>
          <w:szCs w:val="21"/>
        </w:rPr>
        <w:t xml:space="preserve"> bred both Jersey stud cattle (a herd </w:t>
      </w:r>
      <w:r w:rsidRPr="00B12673">
        <w:rPr>
          <w:rFonts w:cs="Arial"/>
          <w:sz w:val="21"/>
          <w:szCs w:val="21"/>
        </w:rPr>
        <w:t>of about 20) and poultry (over 1000 head) on the property</w:t>
      </w:r>
      <w:r w:rsidR="00ED53DB" w:rsidRPr="00B12673">
        <w:rPr>
          <w:rFonts w:cs="Arial"/>
          <w:sz w:val="21"/>
          <w:szCs w:val="21"/>
        </w:rPr>
        <w:t>, and Alison Davis was a recognised dog breeder by 1939</w:t>
      </w:r>
      <w:r w:rsidR="0085206F" w:rsidRPr="00B12673">
        <w:rPr>
          <w:rFonts w:cs="Arial"/>
          <w:sz w:val="21"/>
          <w:szCs w:val="21"/>
        </w:rPr>
        <w:t xml:space="preserve"> (</w:t>
      </w:r>
      <w:r w:rsidR="009260F9" w:rsidRPr="00824BFA">
        <w:rPr>
          <w:rFonts w:cs="Arial"/>
          <w:i/>
          <w:iCs/>
          <w:sz w:val="21"/>
          <w:szCs w:val="21"/>
        </w:rPr>
        <w:t>Argus</w:t>
      </w:r>
      <w:r w:rsidR="009260F9" w:rsidRPr="00824BFA">
        <w:rPr>
          <w:rFonts w:cs="Arial"/>
          <w:sz w:val="21"/>
          <w:szCs w:val="21"/>
        </w:rPr>
        <w:t xml:space="preserve"> 17 January 1938:10</w:t>
      </w:r>
      <w:r w:rsidR="00ED53DB" w:rsidRPr="00B12673">
        <w:rPr>
          <w:rFonts w:cs="Arial"/>
          <w:sz w:val="21"/>
          <w:szCs w:val="21"/>
        </w:rPr>
        <w:t xml:space="preserve">; </w:t>
      </w:r>
      <w:r w:rsidR="00ED53DB" w:rsidRPr="00824BFA">
        <w:rPr>
          <w:rFonts w:cs="Arial"/>
          <w:sz w:val="21"/>
          <w:szCs w:val="21"/>
        </w:rPr>
        <w:t>7 October 1939:23</w:t>
      </w:r>
      <w:r w:rsidR="009260F9" w:rsidRPr="00B12673">
        <w:rPr>
          <w:rFonts w:cs="Arial"/>
          <w:sz w:val="21"/>
          <w:szCs w:val="21"/>
        </w:rPr>
        <w:t>).</w:t>
      </w:r>
      <w:r w:rsidRPr="00B12673">
        <w:rPr>
          <w:rFonts w:cs="Arial"/>
          <w:sz w:val="21"/>
          <w:szCs w:val="21"/>
        </w:rPr>
        <w:t xml:space="preserve"> The</w:t>
      </w:r>
      <w:r w:rsidR="00BF1A37">
        <w:rPr>
          <w:rFonts w:cs="Arial"/>
          <w:sz w:val="21"/>
          <w:szCs w:val="21"/>
        </w:rPr>
        <w:t xml:space="preserve"> current</w:t>
      </w:r>
      <w:r w:rsidRPr="008A7DC2">
        <w:rPr>
          <w:rFonts w:cs="Arial"/>
          <w:sz w:val="21"/>
          <w:szCs w:val="21"/>
        </w:rPr>
        <w:t xml:space="preserve"> two-storey brick home was </w:t>
      </w:r>
      <w:r w:rsidR="005172B6">
        <w:rPr>
          <w:rFonts w:cs="Arial"/>
          <w:sz w:val="21"/>
          <w:szCs w:val="21"/>
        </w:rPr>
        <w:t>most likely</w:t>
      </w:r>
      <w:r w:rsidR="005172B6" w:rsidRPr="008A7DC2">
        <w:rPr>
          <w:rFonts w:cs="Arial"/>
          <w:sz w:val="21"/>
          <w:szCs w:val="21"/>
        </w:rPr>
        <w:t xml:space="preserve"> </w:t>
      </w:r>
      <w:r w:rsidRPr="008A7DC2">
        <w:rPr>
          <w:rFonts w:cs="Arial"/>
          <w:sz w:val="21"/>
          <w:szCs w:val="21"/>
        </w:rPr>
        <w:t xml:space="preserve">built during their occupation. In 1949, due to sale of ‘Harton Hills’ they held a “complete </w:t>
      </w:r>
      <w:r w:rsidRPr="00D66CF3">
        <w:rPr>
          <w:rFonts w:cs="Arial"/>
          <w:sz w:val="21"/>
          <w:szCs w:val="21"/>
        </w:rPr>
        <w:t>dispersal sale” of their stud Friesian and Guernsey cattle</w:t>
      </w:r>
      <w:r w:rsidR="00467FA4" w:rsidRPr="00D66CF3">
        <w:rPr>
          <w:rFonts w:cs="Arial"/>
          <w:sz w:val="21"/>
          <w:szCs w:val="21"/>
        </w:rPr>
        <w:t xml:space="preserve"> (</w:t>
      </w:r>
      <w:r w:rsidR="00467FA4" w:rsidRPr="00824BFA">
        <w:rPr>
          <w:rFonts w:cs="Arial"/>
          <w:i/>
          <w:iCs/>
          <w:sz w:val="21"/>
          <w:szCs w:val="21"/>
        </w:rPr>
        <w:t>Argus</w:t>
      </w:r>
      <w:r w:rsidR="00467FA4" w:rsidRPr="00824BFA">
        <w:rPr>
          <w:rFonts w:cs="Arial"/>
          <w:sz w:val="21"/>
          <w:szCs w:val="21"/>
        </w:rPr>
        <w:t xml:space="preserve"> 9 March 1949:11</w:t>
      </w:r>
      <w:r w:rsidR="00467FA4" w:rsidRPr="00D66CF3">
        <w:rPr>
          <w:rFonts w:cs="Arial"/>
          <w:sz w:val="21"/>
          <w:szCs w:val="21"/>
        </w:rPr>
        <w:t>).</w:t>
      </w:r>
      <w:r w:rsidRPr="00D66CF3">
        <w:rPr>
          <w:rFonts w:cs="Arial"/>
          <w:sz w:val="21"/>
          <w:szCs w:val="21"/>
        </w:rPr>
        <w:t xml:space="preserve"> It appears they had also been leasing another 72 acres of grazing land in the Diamond Creek area owned by the railways department</w:t>
      </w:r>
      <w:r w:rsidR="005172B6" w:rsidRPr="00D66CF3">
        <w:rPr>
          <w:rFonts w:cs="Arial"/>
          <w:sz w:val="21"/>
          <w:szCs w:val="21"/>
        </w:rPr>
        <w:t>, indicating the extent of their agricultural pursuits</w:t>
      </w:r>
      <w:r w:rsidR="00467FA4" w:rsidRPr="00D66CF3">
        <w:rPr>
          <w:rFonts w:cs="Arial"/>
          <w:sz w:val="21"/>
          <w:szCs w:val="21"/>
        </w:rPr>
        <w:t xml:space="preserve"> (</w:t>
      </w:r>
      <w:r w:rsidR="001C3B8F" w:rsidRPr="00824BFA">
        <w:rPr>
          <w:rFonts w:cs="Arial"/>
          <w:i/>
          <w:iCs/>
          <w:sz w:val="21"/>
          <w:szCs w:val="21"/>
        </w:rPr>
        <w:t>Age</w:t>
      </w:r>
      <w:r w:rsidR="001C3B8F" w:rsidRPr="00824BFA">
        <w:rPr>
          <w:rFonts w:cs="Arial"/>
          <w:sz w:val="21"/>
          <w:szCs w:val="21"/>
        </w:rPr>
        <w:t xml:space="preserve"> 25 June 1952:10</w:t>
      </w:r>
      <w:r w:rsidR="001C3B8F" w:rsidRPr="00D66CF3">
        <w:rPr>
          <w:rFonts w:cs="Arial"/>
          <w:sz w:val="21"/>
          <w:szCs w:val="21"/>
        </w:rPr>
        <w:t>).</w:t>
      </w:r>
    </w:p>
    <w:p w14:paraId="283C7165" w14:textId="77777777" w:rsidR="008A7DC2" w:rsidRDefault="008A7DC2" w:rsidP="00B500FF">
      <w:pPr>
        <w:rPr>
          <w:rFonts w:cs="Arial"/>
          <w:sz w:val="21"/>
          <w:szCs w:val="21"/>
        </w:rPr>
      </w:pPr>
    </w:p>
    <w:p w14:paraId="6FA2E065" w14:textId="15B75440" w:rsidR="007B1A10" w:rsidRPr="007B1A10" w:rsidRDefault="007B1A10" w:rsidP="007B1A10">
      <w:pPr>
        <w:rPr>
          <w:rFonts w:cs="Arial"/>
          <w:sz w:val="21"/>
          <w:szCs w:val="21"/>
        </w:rPr>
      </w:pPr>
      <w:r w:rsidRPr="007B1A10">
        <w:rPr>
          <w:rFonts w:cs="Arial"/>
          <w:sz w:val="21"/>
          <w:szCs w:val="21"/>
        </w:rPr>
        <w:t>Arthur Coutts, grazier of Diamond Creek, purchased the property by 1951 and renamed it ‘</w:t>
      </w:r>
      <w:r w:rsidRPr="00D66CF3">
        <w:rPr>
          <w:rFonts w:cs="Arial"/>
          <w:sz w:val="21"/>
          <w:szCs w:val="21"/>
        </w:rPr>
        <w:t>Sunny Hills’</w:t>
      </w:r>
      <w:r w:rsidR="00E13A55" w:rsidRPr="00D66CF3">
        <w:rPr>
          <w:rFonts w:cs="Arial"/>
          <w:sz w:val="21"/>
          <w:szCs w:val="21"/>
        </w:rPr>
        <w:t xml:space="preserve"> (</w:t>
      </w:r>
      <w:r w:rsidR="00E13A55" w:rsidRPr="00824BFA">
        <w:rPr>
          <w:rFonts w:cs="Arial"/>
          <w:sz w:val="21"/>
          <w:szCs w:val="21"/>
        </w:rPr>
        <w:t>CT V3141 F016</w:t>
      </w:r>
      <w:r w:rsidR="00E13A55" w:rsidRPr="00D66CF3">
        <w:rPr>
          <w:rFonts w:cs="Arial"/>
          <w:sz w:val="21"/>
          <w:szCs w:val="21"/>
        </w:rPr>
        <w:t>).</w:t>
      </w:r>
      <w:r w:rsidRPr="00D66CF3">
        <w:rPr>
          <w:rFonts w:cs="Arial"/>
          <w:sz w:val="21"/>
          <w:szCs w:val="21"/>
        </w:rPr>
        <w:t xml:space="preserve"> In</w:t>
      </w:r>
      <w:r w:rsidRPr="007B1A10">
        <w:rPr>
          <w:rFonts w:cs="Arial"/>
          <w:sz w:val="21"/>
          <w:szCs w:val="21"/>
        </w:rPr>
        <w:t xml:space="preserve"> 1952 ‘Sunny Hills’, was offered </w:t>
      </w:r>
      <w:r w:rsidR="0040771B">
        <w:rPr>
          <w:rFonts w:cs="Arial"/>
          <w:sz w:val="21"/>
          <w:szCs w:val="21"/>
        </w:rPr>
        <w:t xml:space="preserve">again </w:t>
      </w:r>
      <w:r w:rsidRPr="007B1A10">
        <w:rPr>
          <w:rFonts w:cs="Arial"/>
          <w:sz w:val="21"/>
          <w:szCs w:val="21"/>
        </w:rPr>
        <w:t xml:space="preserve">for sale. The property </w:t>
      </w:r>
      <w:r w:rsidR="0040771B">
        <w:rPr>
          <w:rFonts w:cs="Arial"/>
          <w:sz w:val="21"/>
          <w:szCs w:val="21"/>
        </w:rPr>
        <w:t xml:space="preserve">was noted as </w:t>
      </w:r>
      <w:r w:rsidRPr="007B1A10">
        <w:rPr>
          <w:rFonts w:cs="Arial"/>
          <w:sz w:val="21"/>
          <w:szCs w:val="21"/>
        </w:rPr>
        <w:t>includ</w:t>
      </w:r>
      <w:r w:rsidR="00323A68">
        <w:rPr>
          <w:rFonts w:cs="Arial"/>
          <w:sz w:val="21"/>
          <w:szCs w:val="21"/>
        </w:rPr>
        <w:t>ing</w:t>
      </w:r>
      <w:r w:rsidRPr="007B1A10">
        <w:rPr>
          <w:rFonts w:cs="Arial"/>
          <w:sz w:val="21"/>
          <w:szCs w:val="21"/>
        </w:rPr>
        <w:t xml:space="preserve"> a “modern” </w:t>
      </w:r>
      <w:r w:rsidR="0040771B">
        <w:rPr>
          <w:rFonts w:cs="Arial"/>
          <w:sz w:val="21"/>
          <w:szCs w:val="21"/>
        </w:rPr>
        <w:t>two</w:t>
      </w:r>
      <w:r w:rsidRPr="007B1A10">
        <w:rPr>
          <w:rFonts w:cs="Arial"/>
          <w:sz w:val="21"/>
          <w:szCs w:val="21"/>
        </w:rPr>
        <w:t>-storey solid-brick home of 11 rooms. There was also a</w:t>
      </w:r>
      <w:r w:rsidR="00323A68">
        <w:rPr>
          <w:rFonts w:cs="Arial"/>
          <w:sz w:val="21"/>
          <w:szCs w:val="21"/>
        </w:rPr>
        <w:t xml:space="preserve"> three-</w:t>
      </w:r>
      <w:r w:rsidRPr="007B1A10">
        <w:rPr>
          <w:rFonts w:cs="Arial"/>
          <w:sz w:val="21"/>
          <w:szCs w:val="21"/>
        </w:rPr>
        <w:t xml:space="preserve">roomed cottage, which may have been an earlier residence. Outbuildings catered for a wide variety of livestock, with fowl pens for 2000 birds, brick pigsties, </w:t>
      </w:r>
      <w:r w:rsidR="00323A68">
        <w:rPr>
          <w:rFonts w:cs="Arial"/>
          <w:sz w:val="21"/>
          <w:szCs w:val="21"/>
        </w:rPr>
        <w:t xml:space="preserve">a </w:t>
      </w:r>
      <w:r w:rsidRPr="007B1A10">
        <w:rPr>
          <w:rFonts w:cs="Arial"/>
          <w:sz w:val="21"/>
          <w:szCs w:val="21"/>
        </w:rPr>
        <w:t xml:space="preserve">milking shed and dairy, and breeding kennels. The </w:t>
      </w:r>
      <w:r w:rsidR="0040771B">
        <w:rPr>
          <w:rFonts w:cs="Arial"/>
          <w:sz w:val="21"/>
          <w:szCs w:val="21"/>
        </w:rPr>
        <w:t>advertisement des</w:t>
      </w:r>
      <w:r w:rsidR="007D506F">
        <w:rPr>
          <w:rFonts w:cs="Arial"/>
          <w:sz w:val="21"/>
          <w:szCs w:val="21"/>
        </w:rPr>
        <w:t xml:space="preserve">cribed the </w:t>
      </w:r>
      <w:r w:rsidRPr="007B1A10">
        <w:rPr>
          <w:rFonts w:cs="Arial"/>
          <w:sz w:val="21"/>
          <w:szCs w:val="21"/>
        </w:rPr>
        <w:t xml:space="preserve">property </w:t>
      </w:r>
      <w:r w:rsidR="007D506F">
        <w:rPr>
          <w:rFonts w:cs="Arial"/>
          <w:sz w:val="21"/>
          <w:szCs w:val="21"/>
        </w:rPr>
        <w:t>as suiting</w:t>
      </w:r>
      <w:r w:rsidRPr="007B1A10">
        <w:rPr>
          <w:rFonts w:cs="Arial"/>
          <w:sz w:val="21"/>
          <w:szCs w:val="21"/>
        </w:rPr>
        <w:t xml:space="preserve"> “the discriminating buyer seeking an outer suburban home with sufficient land to create </w:t>
      </w:r>
      <w:r w:rsidRPr="00D66CF3">
        <w:rPr>
          <w:rFonts w:cs="Arial"/>
          <w:sz w:val="21"/>
          <w:szCs w:val="21"/>
        </w:rPr>
        <w:t>that country atmosphere</w:t>
      </w:r>
      <w:r w:rsidR="007D506F" w:rsidRPr="00D66CF3">
        <w:rPr>
          <w:rFonts w:cs="Arial"/>
          <w:sz w:val="21"/>
          <w:szCs w:val="21"/>
        </w:rPr>
        <w:t>”, further stating that</w:t>
      </w:r>
      <w:r w:rsidRPr="00D66CF3">
        <w:rPr>
          <w:rFonts w:cs="Arial"/>
          <w:sz w:val="21"/>
          <w:szCs w:val="21"/>
        </w:rPr>
        <w:t xml:space="preserve"> </w:t>
      </w:r>
      <w:r w:rsidR="00323A68" w:rsidRPr="00D66CF3">
        <w:rPr>
          <w:rFonts w:cs="Arial"/>
          <w:sz w:val="21"/>
          <w:szCs w:val="21"/>
        </w:rPr>
        <w:t>“</w:t>
      </w:r>
      <w:r w:rsidR="007D506F" w:rsidRPr="00D66CF3">
        <w:rPr>
          <w:rFonts w:cs="Arial"/>
          <w:sz w:val="21"/>
          <w:szCs w:val="21"/>
        </w:rPr>
        <w:t>i</w:t>
      </w:r>
      <w:r w:rsidRPr="00D66CF3">
        <w:rPr>
          <w:rFonts w:cs="Arial"/>
          <w:sz w:val="21"/>
          <w:szCs w:val="21"/>
        </w:rPr>
        <w:t>t is rarely such a place with such delightful views, garden and ornamental trees so handily situated is offered for sale”</w:t>
      </w:r>
      <w:r w:rsidR="002C58F4" w:rsidRPr="00D66CF3">
        <w:rPr>
          <w:rFonts w:cs="Arial"/>
          <w:sz w:val="21"/>
          <w:szCs w:val="21"/>
        </w:rPr>
        <w:t xml:space="preserve"> (</w:t>
      </w:r>
      <w:r w:rsidR="002C58F4" w:rsidRPr="00824BFA">
        <w:rPr>
          <w:rFonts w:cs="Arial"/>
          <w:i/>
          <w:iCs/>
          <w:sz w:val="21"/>
          <w:szCs w:val="21"/>
        </w:rPr>
        <w:t>Age</w:t>
      </w:r>
      <w:r w:rsidR="002C58F4" w:rsidRPr="00824BFA">
        <w:rPr>
          <w:rFonts w:cs="Arial"/>
          <w:sz w:val="21"/>
          <w:szCs w:val="21"/>
        </w:rPr>
        <w:t xml:space="preserve"> 29 March 1952:24)</w:t>
      </w:r>
      <w:r w:rsidR="002C58F4" w:rsidRPr="00D66CF3">
        <w:rPr>
          <w:rFonts w:cs="Arial"/>
          <w:sz w:val="21"/>
          <w:szCs w:val="21"/>
        </w:rPr>
        <w:t>.</w:t>
      </w:r>
    </w:p>
    <w:p w14:paraId="56877448" w14:textId="77777777" w:rsidR="007B1A10" w:rsidRPr="007B1A10" w:rsidRDefault="007B1A10" w:rsidP="007B1A10">
      <w:pPr>
        <w:rPr>
          <w:rFonts w:cs="Arial"/>
          <w:sz w:val="21"/>
          <w:szCs w:val="21"/>
        </w:rPr>
      </w:pPr>
    </w:p>
    <w:p w14:paraId="20B5422B" w14:textId="3527D1A6" w:rsidR="008A7DC2" w:rsidRDefault="007B1A10" w:rsidP="007B1A10">
      <w:pPr>
        <w:rPr>
          <w:rFonts w:cs="Arial"/>
          <w:sz w:val="21"/>
          <w:szCs w:val="21"/>
        </w:rPr>
      </w:pPr>
      <w:r w:rsidRPr="007B1A10">
        <w:rPr>
          <w:rFonts w:cs="Arial"/>
          <w:sz w:val="21"/>
          <w:szCs w:val="21"/>
        </w:rPr>
        <w:t>Peter Salmon (editor) and Vivian Betty Colclough purchased</w:t>
      </w:r>
      <w:r w:rsidR="007D506F">
        <w:rPr>
          <w:rFonts w:cs="Arial"/>
          <w:sz w:val="21"/>
          <w:szCs w:val="21"/>
        </w:rPr>
        <w:t xml:space="preserve"> the </w:t>
      </w:r>
      <w:r w:rsidR="003A58FB">
        <w:rPr>
          <w:rFonts w:cs="Arial"/>
          <w:sz w:val="21"/>
          <w:szCs w:val="21"/>
        </w:rPr>
        <w:t>site</w:t>
      </w:r>
      <w:r w:rsidRPr="007B1A10">
        <w:rPr>
          <w:rFonts w:cs="Arial"/>
          <w:sz w:val="21"/>
          <w:szCs w:val="21"/>
        </w:rPr>
        <w:t xml:space="preserve"> in 1957.</w:t>
      </w:r>
      <w:r w:rsidR="000A37EA">
        <w:rPr>
          <w:rFonts w:cs="Arial"/>
          <w:sz w:val="21"/>
          <w:szCs w:val="21"/>
        </w:rPr>
        <w:t xml:space="preserve"> </w:t>
      </w:r>
      <w:r w:rsidRPr="007B1A10">
        <w:rPr>
          <w:rFonts w:cs="Arial"/>
          <w:sz w:val="21"/>
          <w:szCs w:val="21"/>
        </w:rPr>
        <w:t>The State Electricity Commission compulsorily acquired easements over parts of Lot 4 in 1964, 1967 and 1969. The Country Roads Board acquired the property in 1973</w:t>
      </w:r>
      <w:r w:rsidR="000A37EA">
        <w:rPr>
          <w:rFonts w:cs="Arial"/>
          <w:sz w:val="21"/>
          <w:szCs w:val="21"/>
        </w:rPr>
        <w:t xml:space="preserve"> (</w:t>
      </w:r>
      <w:r w:rsidR="000A37EA" w:rsidRPr="00824BFA">
        <w:rPr>
          <w:rFonts w:cs="Arial"/>
          <w:sz w:val="21"/>
          <w:szCs w:val="21"/>
        </w:rPr>
        <w:t>CT V3141 F016</w:t>
      </w:r>
      <w:r w:rsidR="000A37EA" w:rsidRPr="00D66CF3">
        <w:rPr>
          <w:rFonts w:cs="Arial"/>
          <w:sz w:val="21"/>
          <w:szCs w:val="21"/>
        </w:rPr>
        <w:t>).</w:t>
      </w:r>
      <w:r w:rsidRPr="00D66CF3">
        <w:rPr>
          <w:rFonts w:cs="Arial"/>
          <w:sz w:val="21"/>
          <w:szCs w:val="21"/>
        </w:rPr>
        <w:t xml:space="preserve"> </w:t>
      </w:r>
      <w:r w:rsidR="00323A68" w:rsidRPr="00D66CF3">
        <w:rPr>
          <w:rFonts w:cs="Arial"/>
          <w:sz w:val="21"/>
          <w:szCs w:val="21"/>
        </w:rPr>
        <w:t xml:space="preserve">The property appears to have returned to private use since. </w:t>
      </w:r>
    </w:p>
    <w:p w14:paraId="3935772F" w14:textId="77777777" w:rsidR="00033575" w:rsidRDefault="00033575" w:rsidP="0053253F">
      <w:pPr>
        <w:rPr>
          <w:rFonts w:cs="Arial"/>
          <w:sz w:val="21"/>
          <w:szCs w:val="21"/>
        </w:rPr>
      </w:pPr>
    </w:p>
    <w:p w14:paraId="10265DA2" w14:textId="77777777" w:rsidR="00EF600A" w:rsidRPr="004634C9" w:rsidRDefault="00EF600A" w:rsidP="0053253F">
      <w:pPr>
        <w:rPr>
          <w:rFonts w:cs="Arial"/>
          <w:sz w:val="21"/>
          <w:szCs w:val="21"/>
        </w:rPr>
      </w:pPr>
    </w:p>
    <w:p w14:paraId="3DC75B64" w14:textId="3CF7D7E1" w:rsidR="00955B5A" w:rsidRDefault="00F0333B" w:rsidP="0053253F">
      <w:pPr>
        <w:rPr>
          <w:rFonts w:cs="Arial"/>
          <w:b/>
          <w:sz w:val="21"/>
          <w:szCs w:val="21"/>
        </w:rPr>
      </w:pPr>
      <w:r w:rsidRPr="00533CF2">
        <w:rPr>
          <w:rFonts w:cs="Arial"/>
          <w:b/>
          <w:sz w:val="21"/>
          <w:szCs w:val="21"/>
        </w:rPr>
        <w:t>Description &amp; Integrity</w:t>
      </w:r>
    </w:p>
    <w:p w14:paraId="2409ED43" w14:textId="6A9B4415" w:rsidR="004B3D4D" w:rsidRDefault="004B3D4D" w:rsidP="0053253F">
      <w:pPr>
        <w:rPr>
          <w:rFonts w:cs="Arial"/>
          <w:sz w:val="21"/>
          <w:szCs w:val="21"/>
        </w:rPr>
      </w:pPr>
    </w:p>
    <w:p w14:paraId="3F7D99BB" w14:textId="213550A7" w:rsidR="00826071" w:rsidRDefault="005C476A" w:rsidP="005C476A">
      <w:pPr>
        <w:rPr>
          <w:rFonts w:cs="Arial"/>
          <w:sz w:val="21"/>
          <w:szCs w:val="21"/>
        </w:rPr>
      </w:pPr>
      <w:r w:rsidRPr="005C476A">
        <w:rPr>
          <w:rFonts w:cs="Arial"/>
          <w:sz w:val="21"/>
          <w:szCs w:val="21"/>
        </w:rPr>
        <w:t xml:space="preserve">The property contains a combined single and double storey brick residence constructed in the 1930s. </w:t>
      </w:r>
      <w:r w:rsidR="0027523E">
        <w:rPr>
          <w:rFonts w:cs="Arial"/>
          <w:sz w:val="21"/>
          <w:szCs w:val="21"/>
        </w:rPr>
        <w:t>The house</w:t>
      </w:r>
      <w:r w:rsidR="0027523E" w:rsidRPr="005C476A">
        <w:rPr>
          <w:rFonts w:cs="Arial"/>
          <w:sz w:val="21"/>
          <w:szCs w:val="21"/>
        </w:rPr>
        <w:t xml:space="preserve"> </w:t>
      </w:r>
      <w:r w:rsidRPr="005C476A">
        <w:rPr>
          <w:rFonts w:cs="Arial"/>
          <w:sz w:val="21"/>
          <w:szCs w:val="21"/>
        </w:rPr>
        <w:t>has</w:t>
      </w:r>
      <w:r w:rsidR="00827BB1">
        <w:rPr>
          <w:rFonts w:cs="Arial"/>
          <w:sz w:val="21"/>
          <w:szCs w:val="21"/>
        </w:rPr>
        <w:t xml:space="preserve"> two</w:t>
      </w:r>
      <w:r w:rsidRPr="005C476A">
        <w:rPr>
          <w:rFonts w:cs="Arial"/>
          <w:sz w:val="21"/>
          <w:szCs w:val="21"/>
        </w:rPr>
        <w:t xml:space="preserve"> main gable roofed wings,</w:t>
      </w:r>
      <w:r w:rsidR="004C1EFC">
        <w:rPr>
          <w:rFonts w:cs="Arial"/>
          <w:sz w:val="21"/>
          <w:szCs w:val="21"/>
        </w:rPr>
        <w:t xml:space="preserve"> clad with terracotta tiles,</w:t>
      </w:r>
      <w:r w:rsidR="002534B1">
        <w:rPr>
          <w:rFonts w:cs="Arial"/>
          <w:sz w:val="21"/>
          <w:szCs w:val="21"/>
        </w:rPr>
        <w:t xml:space="preserve"> on north-south a</w:t>
      </w:r>
      <w:r w:rsidR="00826071">
        <w:rPr>
          <w:rFonts w:cs="Arial"/>
          <w:sz w:val="21"/>
          <w:szCs w:val="21"/>
        </w:rPr>
        <w:t>xes. The wings</w:t>
      </w:r>
      <w:r w:rsidR="004D0AA0">
        <w:rPr>
          <w:rFonts w:cs="Arial"/>
          <w:sz w:val="21"/>
          <w:szCs w:val="21"/>
        </w:rPr>
        <w:t xml:space="preserve"> are</w:t>
      </w:r>
      <w:r w:rsidR="00827BB1">
        <w:rPr>
          <w:rFonts w:cs="Arial"/>
          <w:sz w:val="21"/>
          <w:szCs w:val="21"/>
        </w:rPr>
        <w:t xml:space="preserve"> placed</w:t>
      </w:r>
      <w:r w:rsidRPr="005C476A">
        <w:rPr>
          <w:rFonts w:cs="Arial"/>
          <w:sz w:val="21"/>
          <w:szCs w:val="21"/>
        </w:rPr>
        <w:t xml:space="preserve"> end to end</w:t>
      </w:r>
      <w:r w:rsidR="00EF600A">
        <w:rPr>
          <w:rFonts w:cs="Arial"/>
          <w:sz w:val="21"/>
          <w:szCs w:val="21"/>
        </w:rPr>
        <w:t>,</w:t>
      </w:r>
      <w:r w:rsidRPr="005C476A">
        <w:rPr>
          <w:rFonts w:cs="Arial"/>
          <w:sz w:val="21"/>
          <w:szCs w:val="21"/>
        </w:rPr>
        <w:t xml:space="preserve"> but slightly offset from each other</w:t>
      </w:r>
      <w:r w:rsidR="00826071">
        <w:rPr>
          <w:rFonts w:cs="Arial"/>
          <w:sz w:val="21"/>
          <w:szCs w:val="21"/>
        </w:rPr>
        <w:t xml:space="preserve">; the north wing is two-storey, while the south is single-storey. </w:t>
      </w:r>
      <w:r w:rsidR="00C90A18">
        <w:rPr>
          <w:rFonts w:cs="Arial"/>
          <w:sz w:val="21"/>
          <w:szCs w:val="21"/>
        </w:rPr>
        <w:t xml:space="preserve">A </w:t>
      </w:r>
      <w:r w:rsidR="00C96BE6">
        <w:rPr>
          <w:rFonts w:cs="Arial"/>
          <w:sz w:val="21"/>
          <w:szCs w:val="21"/>
        </w:rPr>
        <w:t xml:space="preserve">terracotta roofed veranda is evident on the western side of the house, indicating the location of the primary entryway. </w:t>
      </w:r>
      <w:r w:rsidR="00AA6C7C">
        <w:rPr>
          <w:rFonts w:cs="Arial"/>
          <w:sz w:val="21"/>
          <w:szCs w:val="21"/>
        </w:rPr>
        <w:t>Further single-storey wings appear to have been added to the house on the eastern side.</w:t>
      </w:r>
    </w:p>
    <w:p w14:paraId="1C24E0D8" w14:textId="77777777" w:rsidR="00C611D7" w:rsidRDefault="00C611D7" w:rsidP="005C476A">
      <w:pPr>
        <w:rPr>
          <w:rFonts w:cs="Arial"/>
          <w:sz w:val="21"/>
          <w:szCs w:val="21"/>
        </w:rPr>
      </w:pPr>
    </w:p>
    <w:p w14:paraId="2D48F2A4" w14:textId="1307208E" w:rsidR="001B791D" w:rsidRDefault="00C611D7" w:rsidP="005C476A">
      <w:pPr>
        <w:rPr>
          <w:rFonts w:cs="Arial"/>
          <w:sz w:val="21"/>
          <w:szCs w:val="21"/>
        </w:rPr>
      </w:pPr>
      <w:r>
        <w:rPr>
          <w:rFonts w:cs="Arial"/>
          <w:sz w:val="21"/>
          <w:szCs w:val="21"/>
        </w:rPr>
        <w:t>There is a</w:t>
      </w:r>
      <w:r w:rsidR="001C45AA">
        <w:rPr>
          <w:rFonts w:cs="Arial"/>
          <w:sz w:val="21"/>
          <w:szCs w:val="21"/>
        </w:rPr>
        <w:t>n extensive</w:t>
      </w:r>
      <w:r>
        <w:rPr>
          <w:rFonts w:cs="Arial"/>
          <w:sz w:val="21"/>
          <w:szCs w:val="21"/>
        </w:rPr>
        <w:t xml:space="preserve"> collection of tin roofed farm buildings to the east and north of the house. A swimming pool is located to the south. </w:t>
      </w:r>
      <w:r w:rsidR="005C476A" w:rsidRPr="005C476A">
        <w:rPr>
          <w:rFonts w:cs="Arial"/>
          <w:sz w:val="21"/>
          <w:szCs w:val="21"/>
        </w:rPr>
        <w:t>There is a Monterey cypress drive</w:t>
      </w:r>
      <w:r w:rsidR="003E76BF">
        <w:rPr>
          <w:rFonts w:cs="Arial"/>
          <w:sz w:val="21"/>
          <w:szCs w:val="21"/>
        </w:rPr>
        <w:t xml:space="preserve"> that skirts Ryans Road as it approaches the house</w:t>
      </w:r>
      <w:r w:rsidR="005C476A" w:rsidRPr="005C476A">
        <w:rPr>
          <w:rFonts w:cs="Arial"/>
          <w:sz w:val="21"/>
          <w:szCs w:val="21"/>
        </w:rPr>
        <w:t xml:space="preserve">. </w:t>
      </w:r>
    </w:p>
    <w:p w14:paraId="2E349A96" w14:textId="77777777" w:rsidR="001B791D" w:rsidRDefault="001B791D" w:rsidP="005C476A">
      <w:pPr>
        <w:rPr>
          <w:rFonts w:cs="Arial"/>
          <w:sz w:val="21"/>
          <w:szCs w:val="21"/>
        </w:rPr>
      </w:pPr>
    </w:p>
    <w:p w14:paraId="55F82ECB" w14:textId="14DD9D27" w:rsidR="005C476A" w:rsidRPr="005C476A" w:rsidRDefault="005C476A" w:rsidP="005C476A">
      <w:pPr>
        <w:rPr>
          <w:rFonts w:cs="Arial"/>
          <w:sz w:val="21"/>
          <w:szCs w:val="21"/>
        </w:rPr>
      </w:pPr>
      <w:r w:rsidRPr="005C476A">
        <w:rPr>
          <w:rFonts w:cs="Arial"/>
          <w:sz w:val="21"/>
          <w:szCs w:val="21"/>
        </w:rPr>
        <w:t xml:space="preserve">It is </w:t>
      </w:r>
      <w:r w:rsidR="001B791D">
        <w:rPr>
          <w:rFonts w:cs="Arial"/>
          <w:sz w:val="21"/>
          <w:szCs w:val="21"/>
        </w:rPr>
        <w:t>possible</w:t>
      </w:r>
      <w:r w:rsidR="001B791D" w:rsidRPr="005C476A">
        <w:rPr>
          <w:rFonts w:cs="Arial"/>
          <w:sz w:val="21"/>
          <w:szCs w:val="21"/>
        </w:rPr>
        <w:t xml:space="preserve"> </w:t>
      </w:r>
      <w:r w:rsidRPr="005C476A">
        <w:rPr>
          <w:rFonts w:cs="Arial"/>
          <w:sz w:val="21"/>
          <w:szCs w:val="21"/>
        </w:rPr>
        <w:t xml:space="preserve">that the earlier house on the site built around 1907 </w:t>
      </w:r>
      <w:r w:rsidR="003F3F1A">
        <w:rPr>
          <w:rFonts w:cs="Arial"/>
          <w:sz w:val="21"/>
          <w:szCs w:val="21"/>
        </w:rPr>
        <w:t>could be</w:t>
      </w:r>
      <w:r w:rsidR="003F3F1A" w:rsidRPr="005C476A">
        <w:rPr>
          <w:rFonts w:cs="Arial"/>
          <w:sz w:val="21"/>
          <w:szCs w:val="21"/>
        </w:rPr>
        <w:t xml:space="preserve"> </w:t>
      </w:r>
      <w:r w:rsidRPr="005C476A">
        <w:rPr>
          <w:rFonts w:cs="Arial"/>
          <w:sz w:val="21"/>
          <w:szCs w:val="21"/>
        </w:rPr>
        <w:t>located on the northeast corner of the site</w:t>
      </w:r>
      <w:r w:rsidR="003F3F1A">
        <w:rPr>
          <w:rFonts w:cs="Arial"/>
          <w:sz w:val="21"/>
          <w:szCs w:val="21"/>
        </w:rPr>
        <w:t>, however</w:t>
      </w:r>
      <w:r w:rsidRPr="005C476A">
        <w:rPr>
          <w:rFonts w:cs="Arial"/>
          <w:sz w:val="21"/>
          <w:szCs w:val="21"/>
        </w:rPr>
        <w:t xml:space="preserve"> this </w:t>
      </w:r>
      <w:r w:rsidR="00512950">
        <w:rPr>
          <w:rFonts w:cs="Arial"/>
          <w:sz w:val="21"/>
          <w:szCs w:val="21"/>
        </w:rPr>
        <w:t>has not been</w:t>
      </w:r>
      <w:r w:rsidRPr="005C476A">
        <w:rPr>
          <w:rFonts w:cs="Arial"/>
          <w:sz w:val="21"/>
          <w:szCs w:val="21"/>
        </w:rPr>
        <w:t xml:space="preserve"> confirmed by a site inspection</w:t>
      </w:r>
      <w:r w:rsidR="00512950">
        <w:rPr>
          <w:rFonts w:cs="Arial"/>
          <w:sz w:val="21"/>
          <w:szCs w:val="21"/>
        </w:rPr>
        <w:t xml:space="preserve"> at the time of writing</w:t>
      </w:r>
      <w:r w:rsidRPr="005C476A">
        <w:rPr>
          <w:rFonts w:cs="Arial"/>
          <w:sz w:val="21"/>
          <w:szCs w:val="21"/>
        </w:rPr>
        <w:t>.</w:t>
      </w:r>
    </w:p>
    <w:p w14:paraId="2D27F4C5" w14:textId="77777777" w:rsidR="005C476A" w:rsidRPr="005C476A" w:rsidRDefault="005C476A" w:rsidP="005C476A">
      <w:pPr>
        <w:rPr>
          <w:rFonts w:cs="Arial"/>
          <w:sz w:val="21"/>
          <w:szCs w:val="21"/>
        </w:rPr>
      </w:pPr>
    </w:p>
    <w:p w14:paraId="6029CE37" w14:textId="77777777" w:rsidR="006E17E9" w:rsidRDefault="006E17E9" w:rsidP="0053253F">
      <w:pPr>
        <w:rPr>
          <w:rFonts w:cs="Arial"/>
          <w:sz w:val="21"/>
          <w:szCs w:val="21"/>
        </w:rPr>
      </w:pPr>
    </w:p>
    <w:p w14:paraId="1A33BD4A" w14:textId="62E7833D" w:rsidR="0063627A" w:rsidRDefault="00F0333B" w:rsidP="00112C61">
      <w:pPr>
        <w:rPr>
          <w:rFonts w:cs="Arial"/>
          <w:b/>
          <w:sz w:val="21"/>
          <w:szCs w:val="21"/>
        </w:rPr>
      </w:pPr>
      <w:r w:rsidRPr="00533CF2">
        <w:rPr>
          <w:rFonts w:cs="Arial"/>
          <w:b/>
          <w:sz w:val="21"/>
          <w:szCs w:val="21"/>
        </w:rPr>
        <w:t>Comparative Analysis</w:t>
      </w:r>
    </w:p>
    <w:p w14:paraId="30CB99A8" w14:textId="77777777" w:rsidR="008D52DB" w:rsidRDefault="008D52DB" w:rsidP="00112C61">
      <w:pPr>
        <w:rPr>
          <w:rFonts w:cs="Arial"/>
          <w:sz w:val="21"/>
          <w:szCs w:val="21"/>
        </w:rPr>
      </w:pPr>
    </w:p>
    <w:p w14:paraId="10392CC7" w14:textId="02CCBC4F" w:rsidR="008D52DB" w:rsidRDefault="00112C61" w:rsidP="00112C61">
      <w:pPr>
        <w:rPr>
          <w:rFonts w:cs="Arial"/>
          <w:sz w:val="21"/>
          <w:szCs w:val="21"/>
        </w:rPr>
      </w:pPr>
      <w:r>
        <w:rPr>
          <w:rFonts w:cs="Arial"/>
          <w:sz w:val="21"/>
          <w:szCs w:val="21"/>
        </w:rPr>
        <w:t>Interwar development in the Shire of Nillumbik appeared to be slow, possibly due to its distance from the city and continuing agricultural setting.</w:t>
      </w:r>
      <w:r w:rsidR="008D52DB">
        <w:rPr>
          <w:rFonts w:cs="Arial"/>
          <w:sz w:val="21"/>
          <w:szCs w:val="21"/>
        </w:rPr>
        <w:t xml:space="preserve"> A majority of houses</w:t>
      </w:r>
      <w:r w:rsidR="008A3D5F">
        <w:rPr>
          <w:rFonts w:cs="Arial"/>
          <w:sz w:val="21"/>
          <w:szCs w:val="21"/>
        </w:rPr>
        <w:t xml:space="preserve"> within the shire built in the interwar era</w:t>
      </w:r>
      <w:r w:rsidR="008D52DB">
        <w:rPr>
          <w:rFonts w:cs="Arial"/>
          <w:sz w:val="21"/>
          <w:szCs w:val="21"/>
        </w:rPr>
        <w:t xml:space="preserve"> are illustrative of the demand for low-cost housing, likely due to a combination of material shortages and rural economy. </w:t>
      </w:r>
      <w:r w:rsidR="001430CF">
        <w:rPr>
          <w:rFonts w:cs="Arial"/>
          <w:sz w:val="21"/>
          <w:szCs w:val="21"/>
        </w:rPr>
        <w:t xml:space="preserve">Many houses built in the Shire during this period </w:t>
      </w:r>
      <w:r w:rsidR="0039372D">
        <w:rPr>
          <w:rFonts w:cs="Arial"/>
          <w:sz w:val="21"/>
          <w:szCs w:val="21"/>
        </w:rPr>
        <w:t>are</w:t>
      </w:r>
      <w:r w:rsidR="001430CF">
        <w:rPr>
          <w:rFonts w:cs="Arial"/>
          <w:sz w:val="21"/>
          <w:szCs w:val="21"/>
        </w:rPr>
        <w:t xml:space="preserve"> modest, weatherboard structures with little architectural pretence.</w:t>
      </w:r>
    </w:p>
    <w:p w14:paraId="52B5B8C3" w14:textId="77777777" w:rsidR="008D52DB" w:rsidRDefault="008D52DB" w:rsidP="00112C61">
      <w:pPr>
        <w:rPr>
          <w:rFonts w:cs="Arial"/>
          <w:sz w:val="21"/>
          <w:szCs w:val="21"/>
        </w:rPr>
      </w:pPr>
    </w:p>
    <w:p w14:paraId="12F9927E" w14:textId="63FF4B20" w:rsidR="00073123" w:rsidRDefault="00073123" w:rsidP="00112C61">
      <w:pPr>
        <w:rPr>
          <w:rFonts w:cs="Arial"/>
          <w:sz w:val="21"/>
          <w:szCs w:val="21"/>
        </w:rPr>
      </w:pPr>
      <w:r>
        <w:rPr>
          <w:rFonts w:cs="Arial"/>
          <w:sz w:val="21"/>
          <w:szCs w:val="21"/>
        </w:rPr>
        <w:lastRenderedPageBreak/>
        <w:t>Substantial examples of interwar housing are uncommon within the Shire</w:t>
      </w:r>
      <w:r w:rsidR="0039372D">
        <w:rPr>
          <w:rFonts w:cs="Arial"/>
          <w:sz w:val="21"/>
          <w:szCs w:val="21"/>
        </w:rPr>
        <w:t xml:space="preserve"> </w:t>
      </w:r>
      <w:r>
        <w:rPr>
          <w:rFonts w:cs="Arial"/>
          <w:sz w:val="21"/>
          <w:szCs w:val="21"/>
        </w:rPr>
        <w:t xml:space="preserve">and are underrepresented </w:t>
      </w:r>
      <w:r w:rsidR="003E03E6">
        <w:rPr>
          <w:rFonts w:cs="Arial"/>
          <w:sz w:val="21"/>
          <w:szCs w:val="21"/>
        </w:rPr>
        <w:t xml:space="preserve">on the Heritage Overlay. Although </w:t>
      </w:r>
      <w:r w:rsidR="0039372D">
        <w:rPr>
          <w:rFonts w:cs="Arial"/>
          <w:sz w:val="21"/>
          <w:szCs w:val="21"/>
        </w:rPr>
        <w:t>substantial interwar homes were more common in neighbouring municipalities</w:t>
      </w:r>
      <w:r w:rsidR="00D20ABD">
        <w:rPr>
          <w:rFonts w:cs="Arial"/>
          <w:sz w:val="21"/>
          <w:szCs w:val="21"/>
        </w:rPr>
        <w:t xml:space="preserve"> </w:t>
      </w:r>
      <w:r w:rsidR="0039372D">
        <w:rPr>
          <w:rFonts w:cs="Arial"/>
          <w:sz w:val="21"/>
          <w:szCs w:val="21"/>
        </w:rPr>
        <w:t xml:space="preserve">(such as Manningham and Banyule), </w:t>
      </w:r>
      <w:r w:rsidR="00920152">
        <w:rPr>
          <w:rFonts w:cs="Arial"/>
          <w:sz w:val="21"/>
          <w:szCs w:val="21"/>
        </w:rPr>
        <w:t xml:space="preserve">the </w:t>
      </w:r>
      <w:r w:rsidR="0039372D">
        <w:rPr>
          <w:rFonts w:cs="Arial"/>
          <w:sz w:val="21"/>
          <w:szCs w:val="21"/>
        </w:rPr>
        <w:t xml:space="preserve">Shire of Nillumbik has </w:t>
      </w:r>
      <w:r w:rsidR="002E5727">
        <w:rPr>
          <w:rFonts w:cs="Arial"/>
          <w:sz w:val="21"/>
          <w:szCs w:val="21"/>
        </w:rPr>
        <w:t>few</w:t>
      </w:r>
      <w:r w:rsidR="00D20ABD">
        <w:rPr>
          <w:rFonts w:cs="Arial"/>
          <w:sz w:val="21"/>
          <w:szCs w:val="21"/>
        </w:rPr>
        <w:t>er</w:t>
      </w:r>
      <w:r w:rsidR="002E5727">
        <w:rPr>
          <w:rFonts w:cs="Arial"/>
          <w:sz w:val="21"/>
          <w:szCs w:val="21"/>
        </w:rPr>
        <w:t xml:space="preserve"> examples. </w:t>
      </w:r>
      <w:r w:rsidR="00A64D8F">
        <w:rPr>
          <w:rFonts w:cs="Arial"/>
          <w:sz w:val="21"/>
          <w:szCs w:val="21"/>
        </w:rPr>
        <w:t>Two-storey houses of this era are even less common</w:t>
      </w:r>
      <w:r w:rsidR="00C928FD">
        <w:rPr>
          <w:rFonts w:cs="Arial"/>
          <w:sz w:val="21"/>
          <w:szCs w:val="21"/>
        </w:rPr>
        <w:t xml:space="preserve"> in the </w:t>
      </w:r>
      <w:r w:rsidR="0028226E">
        <w:rPr>
          <w:rFonts w:cs="Arial"/>
          <w:sz w:val="21"/>
          <w:szCs w:val="21"/>
        </w:rPr>
        <w:t>S</w:t>
      </w:r>
      <w:r w:rsidR="00C928FD">
        <w:rPr>
          <w:rFonts w:cs="Arial"/>
          <w:sz w:val="21"/>
          <w:szCs w:val="21"/>
        </w:rPr>
        <w:t>hire, where most homes of the era were single storey</w:t>
      </w:r>
      <w:r w:rsidR="00B02073">
        <w:rPr>
          <w:rFonts w:cs="Arial"/>
          <w:sz w:val="21"/>
          <w:szCs w:val="21"/>
        </w:rPr>
        <w:t xml:space="preserve">, </w:t>
      </w:r>
      <w:r w:rsidR="001E2C94">
        <w:rPr>
          <w:rFonts w:cs="Arial"/>
          <w:sz w:val="21"/>
          <w:szCs w:val="21"/>
        </w:rPr>
        <w:t>likely</w:t>
      </w:r>
      <w:r w:rsidR="00B02073">
        <w:rPr>
          <w:rFonts w:cs="Arial"/>
          <w:sz w:val="21"/>
          <w:szCs w:val="21"/>
        </w:rPr>
        <w:t xml:space="preserve"> </w:t>
      </w:r>
      <w:r w:rsidR="0028226E">
        <w:rPr>
          <w:rFonts w:cs="Arial"/>
          <w:sz w:val="21"/>
          <w:szCs w:val="21"/>
        </w:rPr>
        <w:t xml:space="preserve">in order to </w:t>
      </w:r>
      <w:r w:rsidR="001E2C94">
        <w:rPr>
          <w:rFonts w:cs="Arial"/>
          <w:sz w:val="21"/>
          <w:szCs w:val="21"/>
        </w:rPr>
        <w:t>capitalise on</w:t>
      </w:r>
      <w:r w:rsidR="00B02073">
        <w:rPr>
          <w:rFonts w:cs="Arial"/>
          <w:sz w:val="21"/>
          <w:szCs w:val="21"/>
        </w:rPr>
        <w:t xml:space="preserve"> the abundance of land. </w:t>
      </w:r>
    </w:p>
    <w:p w14:paraId="7488F8B2" w14:textId="77777777" w:rsidR="00112C61" w:rsidRDefault="00112C61" w:rsidP="00DA2095">
      <w:pPr>
        <w:rPr>
          <w:rFonts w:cs="Arial"/>
          <w:sz w:val="21"/>
          <w:szCs w:val="21"/>
        </w:rPr>
      </w:pPr>
    </w:p>
    <w:p w14:paraId="1C3C6957" w14:textId="7A1FD346" w:rsidR="00953A15" w:rsidRDefault="00953A15" w:rsidP="00953A15">
      <w:pPr>
        <w:rPr>
          <w:rFonts w:cs="Arial"/>
          <w:sz w:val="21"/>
          <w:szCs w:val="21"/>
        </w:rPr>
      </w:pPr>
      <w:r w:rsidRPr="00953A15">
        <w:rPr>
          <w:rFonts w:cs="Arial"/>
          <w:sz w:val="21"/>
          <w:szCs w:val="21"/>
        </w:rPr>
        <w:t xml:space="preserve">There are no other </w:t>
      </w:r>
      <w:r w:rsidR="000330BC">
        <w:rPr>
          <w:rFonts w:cs="Arial"/>
          <w:sz w:val="21"/>
          <w:szCs w:val="21"/>
        </w:rPr>
        <w:t>identified</w:t>
      </w:r>
      <w:r w:rsidR="000330BC" w:rsidRPr="00953A15">
        <w:rPr>
          <w:rFonts w:cs="Arial"/>
          <w:sz w:val="21"/>
          <w:szCs w:val="21"/>
        </w:rPr>
        <w:t xml:space="preserve"> </w:t>
      </w:r>
      <w:r w:rsidR="002E5727">
        <w:rPr>
          <w:rFonts w:cs="Arial"/>
          <w:sz w:val="21"/>
          <w:szCs w:val="21"/>
        </w:rPr>
        <w:t>substantial</w:t>
      </w:r>
      <w:r w:rsidR="00681C2A">
        <w:rPr>
          <w:rFonts w:cs="Arial"/>
          <w:sz w:val="21"/>
          <w:szCs w:val="21"/>
        </w:rPr>
        <w:t xml:space="preserve"> two-storey</w:t>
      </w:r>
      <w:r w:rsidR="002E5727">
        <w:rPr>
          <w:rFonts w:cs="Arial"/>
          <w:sz w:val="21"/>
          <w:szCs w:val="21"/>
        </w:rPr>
        <w:t xml:space="preserve"> </w:t>
      </w:r>
      <w:r w:rsidRPr="00953A15">
        <w:rPr>
          <w:rFonts w:cs="Arial"/>
          <w:sz w:val="21"/>
          <w:szCs w:val="21"/>
        </w:rPr>
        <w:t xml:space="preserve">farmhouses or farm properties </w:t>
      </w:r>
      <w:r w:rsidR="00074F80">
        <w:rPr>
          <w:rFonts w:cs="Arial"/>
          <w:sz w:val="21"/>
          <w:szCs w:val="21"/>
        </w:rPr>
        <w:t>from</w:t>
      </w:r>
      <w:r w:rsidR="00074F80" w:rsidRPr="00953A15">
        <w:rPr>
          <w:rFonts w:cs="Arial"/>
          <w:sz w:val="21"/>
          <w:szCs w:val="21"/>
        </w:rPr>
        <w:t xml:space="preserve"> </w:t>
      </w:r>
      <w:r w:rsidRPr="00953A15">
        <w:rPr>
          <w:rFonts w:cs="Arial"/>
          <w:sz w:val="21"/>
          <w:szCs w:val="21"/>
        </w:rPr>
        <w:t>the mid to late 1930s currently included in the Heritage Overlay</w:t>
      </w:r>
      <w:r w:rsidR="00B02073">
        <w:rPr>
          <w:rFonts w:cs="Arial"/>
          <w:sz w:val="21"/>
          <w:szCs w:val="21"/>
        </w:rPr>
        <w:t xml:space="preserve">, however there are examples of </w:t>
      </w:r>
      <w:r w:rsidR="00681C2A">
        <w:rPr>
          <w:rFonts w:cs="Arial"/>
          <w:sz w:val="21"/>
          <w:szCs w:val="21"/>
        </w:rPr>
        <w:t>other</w:t>
      </w:r>
      <w:r w:rsidR="005C070D">
        <w:rPr>
          <w:rFonts w:cs="Arial"/>
          <w:sz w:val="21"/>
          <w:szCs w:val="21"/>
        </w:rPr>
        <w:t xml:space="preserve"> homes dating to the Interwar period, as follows:</w:t>
      </w:r>
    </w:p>
    <w:p w14:paraId="14395A05" w14:textId="77777777" w:rsidR="00B64DE2" w:rsidRDefault="00B64DE2" w:rsidP="00953A15">
      <w:pPr>
        <w:rPr>
          <w:rFonts w:cs="Arial"/>
          <w:sz w:val="21"/>
          <w:szCs w:val="21"/>
        </w:rPr>
      </w:pPr>
    </w:p>
    <w:p w14:paraId="4F3E209F" w14:textId="5BEC5CA7" w:rsidR="00B64DE2" w:rsidRPr="00B64DE2" w:rsidRDefault="00B64DE2" w:rsidP="00B64DE2">
      <w:pPr>
        <w:pStyle w:val="ListParagraph"/>
        <w:numPr>
          <w:ilvl w:val="0"/>
          <w:numId w:val="2"/>
        </w:numPr>
        <w:rPr>
          <w:rFonts w:cs="Arial"/>
          <w:sz w:val="21"/>
          <w:szCs w:val="21"/>
        </w:rPr>
      </w:pPr>
      <w:r w:rsidRPr="00B64DE2">
        <w:rPr>
          <w:rFonts w:cs="Arial"/>
          <w:sz w:val="21"/>
          <w:szCs w:val="21"/>
        </w:rPr>
        <w:t>Brinkkotter House, 32 Lindon Strike Court, Research (HO114)</w:t>
      </w:r>
    </w:p>
    <w:p w14:paraId="3BF1D906" w14:textId="15AB677C" w:rsidR="00B64DE2" w:rsidRPr="00B64DE2" w:rsidRDefault="00B64DE2" w:rsidP="00B64DE2">
      <w:pPr>
        <w:pStyle w:val="ListParagraph"/>
        <w:numPr>
          <w:ilvl w:val="0"/>
          <w:numId w:val="2"/>
        </w:numPr>
        <w:rPr>
          <w:rFonts w:cs="Arial"/>
          <w:sz w:val="21"/>
          <w:szCs w:val="21"/>
        </w:rPr>
      </w:pPr>
      <w:r w:rsidRPr="00B64DE2">
        <w:rPr>
          <w:rFonts w:cs="Arial"/>
          <w:sz w:val="21"/>
          <w:szCs w:val="21"/>
        </w:rPr>
        <w:t>Worlingworth, 10-26 Banoon Road, Eltham (HO7)</w:t>
      </w:r>
    </w:p>
    <w:p w14:paraId="1CDF41F3" w14:textId="094E3B4A" w:rsidR="00B64DE2" w:rsidRPr="00B64DE2" w:rsidRDefault="00B64DE2" w:rsidP="00B64DE2">
      <w:pPr>
        <w:pStyle w:val="ListParagraph"/>
        <w:numPr>
          <w:ilvl w:val="0"/>
          <w:numId w:val="2"/>
        </w:numPr>
        <w:rPr>
          <w:rFonts w:cs="Arial"/>
          <w:sz w:val="21"/>
          <w:szCs w:val="21"/>
        </w:rPr>
      </w:pPr>
      <w:r w:rsidRPr="00B64DE2">
        <w:rPr>
          <w:rFonts w:cs="Arial"/>
          <w:sz w:val="21"/>
          <w:szCs w:val="21"/>
        </w:rPr>
        <w:t>Orchard House, 25 Cottles Bridge-Strathewen Road, Cottles Bridge (HO190).</w:t>
      </w:r>
    </w:p>
    <w:p w14:paraId="54A20260" w14:textId="77777777" w:rsidR="00953A15" w:rsidRPr="00953A15" w:rsidRDefault="00953A15" w:rsidP="00953A15">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4235"/>
      </w:tblGrid>
      <w:tr w:rsidR="001B15E9" w14:paraId="60F94278" w14:textId="77777777" w:rsidTr="001B15E9">
        <w:tc>
          <w:tcPr>
            <w:tcW w:w="4071" w:type="dxa"/>
          </w:tcPr>
          <w:p w14:paraId="283170C1" w14:textId="77777777" w:rsidR="001B15E9" w:rsidRPr="00586B3A" w:rsidRDefault="001B15E9" w:rsidP="00611E9E">
            <w:pPr>
              <w:keepNext/>
              <w:rPr>
                <w:rFonts w:cs="Arial"/>
                <w:iCs/>
              </w:rPr>
            </w:pPr>
            <w:r w:rsidRPr="00586B3A">
              <w:rPr>
                <w:rFonts w:cs="Arial"/>
                <w:iCs/>
                <w:noProof/>
                <w:sz w:val="18"/>
                <w:szCs w:val="18"/>
                <w:lang w:eastAsia="en-AU"/>
              </w:rPr>
              <w:drawing>
                <wp:inline distT="0" distB="0" distL="0" distR="0" wp14:anchorId="54FAA046" wp14:editId="2DE375EC">
                  <wp:extent cx="2476711" cy="1428750"/>
                  <wp:effectExtent l="0" t="0" r="0" b="0"/>
                  <wp:docPr id="12" name="Picture 12" descr="A picture containing tree,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grass, outdoor, sky&#10;&#10;Description automatically generated"/>
                          <pic:cNvPicPr/>
                        </pic:nvPicPr>
                        <pic:blipFill rotWithShape="1">
                          <a:blip r:embed="rId12"/>
                          <a:srcRect b="10288"/>
                          <a:stretch/>
                        </pic:blipFill>
                        <pic:spPr bwMode="auto">
                          <a:xfrm>
                            <a:off x="0" y="0"/>
                            <a:ext cx="2484043" cy="1432979"/>
                          </a:xfrm>
                          <a:prstGeom prst="rect">
                            <a:avLst/>
                          </a:prstGeom>
                          <a:ln>
                            <a:noFill/>
                          </a:ln>
                          <a:extLst>
                            <a:ext uri="{53640926-AAD7-44D8-BBD7-CCE9431645EC}">
                              <a14:shadowObscured xmlns:a14="http://schemas.microsoft.com/office/drawing/2010/main"/>
                            </a:ext>
                          </a:extLst>
                        </pic:spPr>
                      </pic:pic>
                    </a:graphicData>
                  </a:graphic>
                </wp:inline>
              </w:drawing>
            </w:r>
          </w:p>
          <w:p w14:paraId="0BBF51C4" w14:textId="77777777" w:rsidR="001B15E9" w:rsidRPr="00586B3A" w:rsidRDefault="001B15E9" w:rsidP="00611E9E">
            <w:pPr>
              <w:pStyle w:val="Caption"/>
              <w:ind w:left="0"/>
              <w:jc w:val="both"/>
              <w:rPr>
                <w:rFonts w:ascii="Arial" w:hAnsi="Arial"/>
                <w:i w:val="0"/>
                <w:iCs/>
                <w:sz w:val="18"/>
                <w:szCs w:val="18"/>
              </w:rPr>
            </w:pPr>
            <w:r w:rsidRPr="00586B3A">
              <w:rPr>
                <w:rFonts w:ascii="Arial" w:hAnsi="Arial"/>
                <w:i w:val="0"/>
                <w:iCs/>
              </w:rPr>
              <w:t xml:space="preserve">Figure </w:t>
            </w:r>
            <w:r w:rsidRPr="00586B3A">
              <w:rPr>
                <w:rFonts w:ascii="Arial" w:hAnsi="Arial"/>
                <w:i w:val="0"/>
                <w:iCs/>
              </w:rPr>
              <w:fldChar w:fldCharType="begin"/>
            </w:r>
            <w:r w:rsidRPr="00586B3A">
              <w:rPr>
                <w:rFonts w:ascii="Arial" w:hAnsi="Arial"/>
                <w:i w:val="0"/>
                <w:iCs/>
              </w:rPr>
              <w:instrText xml:space="preserve"> SEQ Figure \* ARABIC </w:instrText>
            </w:r>
            <w:r w:rsidRPr="00586B3A">
              <w:rPr>
                <w:rFonts w:ascii="Arial" w:hAnsi="Arial"/>
                <w:i w:val="0"/>
                <w:iCs/>
              </w:rPr>
              <w:fldChar w:fldCharType="separate"/>
            </w:r>
            <w:r>
              <w:rPr>
                <w:rFonts w:ascii="Arial" w:hAnsi="Arial"/>
                <w:i w:val="0"/>
                <w:iCs/>
                <w:noProof/>
              </w:rPr>
              <w:t>4</w:t>
            </w:r>
            <w:r w:rsidRPr="00586B3A">
              <w:rPr>
                <w:rFonts w:ascii="Arial" w:hAnsi="Arial"/>
                <w:i w:val="0"/>
                <w:iCs/>
              </w:rPr>
              <w:fldChar w:fldCharType="end"/>
            </w:r>
            <w:r w:rsidRPr="00586B3A">
              <w:rPr>
                <w:rFonts w:ascii="Arial" w:hAnsi="Arial"/>
                <w:i w:val="0"/>
                <w:iCs/>
              </w:rPr>
              <w:t xml:space="preserve">. </w:t>
            </w:r>
            <w:r w:rsidRPr="00586B3A">
              <w:rPr>
                <w:rFonts w:ascii="Arial" w:hAnsi="Arial"/>
                <w:i w:val="0"/>
                <w:iCs/>
                <w:sz w:val="18"/>
                <w:szCs w:val="18"/>
              </w:rPr>
              <w:t>Brinkkotter House, 32 Lindon Strike Court, Research (HO114).</w:t>
            </w:r>
          </w:p>
          <w:p w14:paraId="45B081C7" w14:textId="77777777" w:rsidR="001B15E9" w:rsidRPr="009F4DD5" w:rsidRDefault="001B15E9" w:rsidP="00611E9E">
            <w:pPr>
              <w:rPr>
                <w:rFonts w:cs="Arial"/>
                <w:sz w:val="18"/>
                <w:szCs w:val="18"/>
              </w:rPr>
            </w:pPr>
          </w:p>
          <w:p w14:paraId="1F6F8444" w14:textId="77777777" w:rsidR="001B15E9" w:rsidRPr="009F4DD5" w:rsidRDefault="001B15E9" w:rsidP="00611E9E">
            <w:pPr>
              <w:rPr>
                <w:rFonts w:cs="Arial"/>
                <w:sz w:val="18"/>
                <w:szCs w:val="18"/>
              </w:rPr>
            </w:pPr>
          </w:p>
        </w:tc>
        <w:tc>
          <w:tcPr>
            <w:tcW w:w="4235" w:type="dxa"/>
          </w:tcPr>
          <w:p w14:paraId="1431D76F" w14:textId="77777777" w:rsidR="001B15E9" w:rsidRPr="00586B3A" w:rsidRDefault="001B15E9" w:rsidP="00611E9E">
            <w:pPr>
              <w:keepNext/>
              <w:rPr>
                <w:rFonts w:cs="Arial"/>
                <w:iCs/>
              </w:rPr>
            </w:pPr>
            <w:r w:rsidRPr="00586B3A">
              <w:rPr>
                <w:rFonts w:cs="Arial"/>
                <w:iCs/>
                <w:noProof/>
                <w:sz w:val="18"/>
                <w:szCs w:val="18"/>
                <w:lang w:eastAsia="en-AU"/>
              </w:rPr>
              <w:drawing>
                <wp:inline distT="0" distB="0" distL="0" distR="0" wp14:anchorId="0A2FA612" wp14:editId="6102B104">
                  <wp:extent cx="2581275" cy="1419700"/>
                  <wp:effectExtent l="0" t="0" r="0" b="9525"/>
                  <wp:docPr id="13" name="Picture 13" descr="A picture containing outdoor, grass,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ass, sky, tree&#10;&#10;Description automatically generated"/>
                          <pic:cNvPicPr/>
                        </pic:nvPicPr>
                        <pic:blipFill rotWithShape="1">
                          <a:blip r:embed="rId13"/>
                          <a:srcRect r="20611" b="21329"/>
                          <a:stretch/>
                        </pic:blipFill>
                        <pic:spPr bwMode="auto">
                          <a:xfrm>
                            <a:off x="0" y="0"/>
                            <a:ext cx="2591597" cy="1425377"/>
                          </a:xfrm>
                          <a:prstGeom prst="rect">
                            <a:avLst/>
                          </a:prstGeom>
                          <a:ln>
                            <a:noFill/>
                          </a:ln>
                          <a:extLst>
                            <a:ext uri="{53640926-AAD7-44D8-BBD7-CCE9431645EC}">
                              <a14:shadowObscured xmlns:a14="http://schemas.microsoft.com/office/drawing/2010/main"/>
                            </a:ext>
                          </a:extLst>
                        </pic:spPr>
                      </pic:pic>
                    </a:graphicData>
                  </a:graphic>
                </wp:inline>
              </w:drawing>
            </w:r>
          </w:p>
          <w:p w14:paraId="57226FAD" w14:textId="77777777" w:rsidR="001B15E9" w:rsidRPr="00586B3A" w:rsidRDefault="001B15E9" w:rsidP="00611E9E">
            <w:pPr>
              <w:pStyle w:val="Caption"/>
              <w:ind w:left="0"/>
              <w:jc w:val="both"/>
              <w:rPr>
                <w:rFonts w:ascii="Arial" w:hAnsi="Arial"/>
                <w:i w:val="0"/>
                <w:iCs/>
                <w:sz w:val="18"/>
                <w:szCs w:val="18"/>
              </w:rPr>
            </w:pPr>
            <w:r w:rsidRPr="00586B3A">
              <w:rPr>
                <w:rFonts w:ascii="Arial" w:hAnsi="Arial"/>
                <w:i w:val="0"/>
                <w:iCs/>
              </w:rPr>
              <w:t xml:space="preserve">Figure </w:t>
            </w:r>
            <w:r w:rsidRPr="00586B3A">
              <w:rPr>
                <w:rFonts w:ascii="Arial" w:hAnsi="Arial"/>
                <w:i w:val="0"/>
                <w:iCs/>
              </w:rPr>
              <w:fldChar w:fldCharType="begin"/>
            </w:r>
            <w:r w:rsidRPr="00586B3A">
              <w:rPr>
                <w:rFonts w:ascii="Arial" w:hAnsi="Arial"/>
                <w:i w:val="0"/>
                <w:iCs/>
              </w:rPr>
              <w:instrText xml:space="preserve"> SEQ Figure \* ARABIC </w:instrText>
            </w:r>
            <w:r w:rsidRPr="00586B3A">
              <w:rPr>
                <w:rFonts w:ascii="Arial" w:hAnsi="Arial"/>
                <w:i w:val="0"/>
                <w:iCs/>
              </w:rPr>
              <w:fldChar w:fldCharType="separate"/>
            </w:r>
            <w:r>
              <w:rPr>
                <w:rFonts w:ascii="Arial" w:hAnsi="Arial"/>
                <w:i w:val="0"/>
                <w:iCs/>
                <w:noProof/>
              </w:rPr>
              <w:t>5</w:t>
            </w:r>
            <w:r w:rsidRPr="00586B3A">
              <w:rPr>
                <w:rFonts w:ascii="Arial" w:hAnsi="Arial"/>
                <w:i w:val="0"/>
                <w:iCs/>
              </w:rPr>
              <w:fldChar w:fldCharType="end"/>
            </w:r>
            <w:r w:rsidRPr="00586B3A">
              <w:rPr>
                <w:rFonts w:ascii="Arial" w:hAnsi="Arial"/>
                <w:i w:val="0"/>
                <w:iCs/>
              </w:rPr>
              <w:t xml:space="preserve">. </w:t>
            </w:r>
            <w:r w:rsidRPr="00586B3A">
              <w:rPr>
                <w:rFonts w:ascii="Arial" w:hAnsi="Arial"/>
                <w:i w:val="0"/>
                <w:iCs/>
                <w:sz w:val="18"/>
                <w:szCs w:val="18"/>
              </w:rPr>
              <w:t>Worlingworth, 10-26 Banoon Road, Eltham (HO7).</w:t>
            </w:r>
          </w:p>
          <w:p w14:paraId="5F231C15" w14:textId="77777777" w:rsidR="001B15E9" w:rsidRPr="009F4DD5" w:rsidRDefault="001B15E9" w:rsidP="00611E9E">
            <w:pPr>
              <w:rPr>
                <w:rFonts w:cs="Arial"/>
                <w:sz w:val="18"/>
                <w:szCs w:val="18"/>
              </w:rPr>
            </w:pPr>
          </w:p>
        </w:tc>
      </w:tr>
      <w:tr w:rsidR="001B15E9" w14:paraId="762A6F3E" w14:textId="77777777" w:rsidTr="001B15E9">
        <w:tc>
          <w:tcPr>
            <w:tcW w:w="4071" w:type="dxa"/>
          </w:tcPr>
          <w:p w14:paraId="5577E490" w14:textId="77777777" w:rsidR="001B15E9" w:rsidRPr="00586B3A" w:rsidRDefault="001B15E9" w:rsidP="00611E9E">
            <w:pPr>
              <w:keepNext/>
              <w:rPr>
                <w:rFonts w:cs="Arial"/>
                <w:iCs/>
              </w:rPr>
            </w:pPr>
            <w:r w:rsidRPr="00586B3A">
              <w:rPr>
                <w:rFonts w:cs="Arial"/>
                <w:iCs/>
                <w:noProof/>
                <w:sz w:val="18"/>
                <w:szCs w:val="18"/>
                <w:lang w:eastAsia="en-AU"/>
              </w:rPr>
              <w:drawing>
                <wp:inline distT="0" distB="0" distL="0" distR="0" wp14:anchorId="3F4DD44C" wp14:editId="27D64C64">
                  <wp:extent cx="2440225" cy="1266825"/>
                  <wp:effectExtent l="0" t="0" r="0" b="0"/>
                  <wp:docPr id="14" name="Picture 14" descr="A house with a large y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ouse with a large yard&#10;&#10;Description automatically generated with low confidence"/>
                          <pic:cNvPicPr/>
                        </pic:nvPicPr>
                        <pic:blipFill>
                          <a:blip r:embed="rId14"/>
                          <a:stretch>
                            <a:fillRect/>
                          </a:stretch>
                        </pic:blipFill>
                        <pic:spPr>
                          <a:xfrm>
                            <a:off x="0" y="0"/>
                            <a:ext cx="2448999" cy="1271380"/>
                          </a:xfrm>
                          <a:prstGeom prst="rect">
                            <a:avLst/>
                          </a:prstGeom>
                        </pic:spPr>
                      </pic:pic>
                    </a:graphicData>
                  </a:graphic>
                </wp:inline>
              </w:drawing>
            </w:r>
          </w:p>
          <w:p w14:paraId="73884286" w14:textId="77777777" w:rsidR="001B15E9" w:rsidRPr="00586B3A" w:rsidRDefault="001B15E9" w:rsidP="00611E9E">
            <w:pPr>
              <w:pStyle w:val="Caption"/>
              <w:ind w:left="0"/>
              <w:jc w:val="both"/>
              <w:rPr>
                <w:rFonts w:ascii="Arial" w:hAnsi="Arial"/>
                <w:i w:val="0"/>
                <w:iCs/>
                <w:sz w:val="18"/>
                <w:szCs w:val="18"/>
              </w:rPr>
            </w:pPr>
            <w:r w:rsidRPr="00586B3A">
              <w:rPr>
                <w:rFonts w:ascii="Arial" w:hAnsi="Arial"/>
                <w:i w:val="0"/>
                <w:iCs/>
              </w:rPr>
              <w:t xml:space="preserve">Figure </w:t>
            </w:r>
            <w:r w:rsidRPr="00586B3A">
              <w:rPr>
                <w:rFonts w:ascii="Arial" w:hAnsi="Arial"/>
                <w:i w:val="0"/>
                <w:iCs/>
              </w:rPr>
              <w:fldChar w:fldCharType="begin"/>
            </w:r>
            <w:r w:rsidRPr="00586B3A">
              <w:rPr>
                <w:rFonts w:ascii="Arial" w:hAnsi="Arial"/>
                <w:i w:val="0"/>
                <w:iCs/>
              </w:rPr>
              <w:instrText xml:space="preserve"> SEQ Figure \* ARABIC </w:instrText>
            </w:r>
            <w:r w:rsidRPr="00586B3A">
              <w:rPr>
                <w:rFonts w:ascii="Arial" w:hAnsi="Arial"/>
                <w:i w:val="0"/>
                <w:iCs/>
              </w:rPr>
              <w:fldChar w:fldCharType="separate"/>
            </w:r>
            <w:r w:rsidRPr="00586B3A">
              <w:rPr>
                <w:rFonts w:ascii="Arial" w:hAnsi="Arial"/>
                <w:i w:val="0"/>
                <w:iCs/>
                <w:noProof/>
              </w:rPr>
              <w:t>6</w:t>
            </w:r>
            <w:r w:rsidRPr="00586B3A">
              <w:rPr>
                <w:rFonts w:ascii="Arial" w:hAnsi="Arial"/>
                <w:i w:val="0"/>
                <w:iCs/>
              </w:rPr>
              <w:fldChar w:fldCharType="end"/>
            </w:r>
            <w:r w:rsidRPr="00586B3A">
              <w:rPr>
                <w:rFonts w:ascii="Arial" w:hAnsi="Arial"/>
                <w:i w:val="0"/>
                <w:iCs/>
              </w:rPr>
              <w:t xml:space="preserve">. </w:t>
            </w:r>
            <w:r w:rsidRPr="00586B3A">
              <w:rPr>
                <w:rFonts w:ascii="Arial" w:hAnsi="Arial"/>
                <w:i w:val="0"/>
                <w:iCs/>
                <w:sz w:val="18"/>
                <w:szCs w:val="18"/>
              </w:rPr>
              <w:t>Orchard House, 25 Cottles Bridge-Strathewen Road, Cottles Bridge (HO190).</w:t>
            </w:r>
          </w:p>
          <w:p w14:paraId="4D6D0331" w14:textId="77777777" w:rsidR="001B15E9" w:rsidRPr="00586B3A" w:rsidRDefault="001B15E9" w:rsidP="00611E9E">
            <w:pPr>
              <w:rPr>
                <w:rFonts w:cs="Arial"/>
                <w:iCs/>
                <w:sz w:val="18"/>
                <w:szCs w:val="18"/>
              </w:rPr>
            </w:pPr>
          </w:p>
        </w:tc>
        <w:tc>
          <w:tcPr>
            <w:tcW w:w="4235" w:type="dxa"/>
          </w:tcPr>
          <w:p w14:paraId="6A205A05" w14:textId="77777777" w:rsidR="001B15E9" w:rsidRPr="00586B3A" w:rsidRDefault="001B15E9" w:rsidP="00611E9E">
            <w:pPr>
              <w:rPr>
                <w:rFonts w:cs="Arial"/>
                <w:iCs/>
                <w:sz w:val="18"/>
                <w:szCs w:val="18"/>
              </w:rPr>
            </w:pPr>
          </w:p>
        </w:tc>
      </w:tr>
    </w:tbl>
    <w:p w14:paraId="6C8CB85B" w14:textId="31B394A2" w:rsidR="00A828E7" w:rsidRDefault="00F3616B" w:rsidP="00EB5097">
      <w:pPr>
        <w:overflowPunct/>
        <w:autoSpaceDE/>
        <w:autoSpaceDN/>
        <w:adjustRightInd/>
        <w:textAlignment w:val="auto"/>
        <w:rPr>
          <w:sz w:val="21"/>
          <w:szCs w:val="21"/>
        </w:rPr>
      </w:pPr>
      <w:r w:rsidRPr="00F3616B">
        <w:rPr>
          <w:rFonts w:cs="Arial"/>
          <w:bCs/>
          <w:sz w:val="21"/>
          <w:szCs w:val="21"/>
        </w:rPr>
        <w:t xml:space="preserve">The Brinkotter House </w:t>
      </w:r>
      <w:r>
        <w:rPr>
          <w:sz w:val="21"/>
          <w:szCs w:val="21"/>
        </w:rPr>
        <w:t xml:space="preserve">at </w:t>
      </w:r>
      <w:r w:rsidRPr="00F3616B">
        <w:rPr>
          <w:sz w:val="21"/>
          <w:szCs w:val="21"/>
        </w:rPr>
        <w:t>32 Lindon Strike Court</w:t>
      </w:r>
      <w:r>
        <w:rPr>
          <w:sz w:val="21"/>
          <w:szCs w:val="21"/>
        </w:rPr>
        <w:t xml:space="preserve"> was built c1935</w:t>
      </w:r>
      <w:r w:rsidRPr="00F3616B">
        <w:rPr>
          <w:sz w:val="21"/>
          <w:szCs w:val="21"/>
        </w:rPr>
        <w:t xml:space="preserve">, </w:t>
      </w:r>
      <w:r>
        <w:rPr>
          <w:sz w:val="21"/>
          <w:szCs w:val="21"/>
        </w:rPr>
        <w:t xml:space="preserve">and </w:t>
      </w:r>
      <w:r w:rsidRPr="00F3616B">
        <w:rPr>
          <w:sz w:val="21"/>
          <w:szCs w:val="21"/>
        </w:rPr>
        <w:t xml:space="preserve">is significant for its associations with the Brinkkotter </w:t>
      </w:r>
      <w:r w:rsidR="003E7EB0" w:rsidRPr="00F3616B">
        <w:rPr>
          <w:sz w:val="21"/>
          <w:szCs w:val="21"/>
        </w:rPr>
        <w:t xml:space="preserve">family, </w:t>
      </w:r>
      <w:r w:rsidR="003E7EB0">
        <w:rPr>
          <w:sz w:val="21"/>
          <w:szCs w:val="21"/>
        </w:rPr>
        <w:t>who</w:t>
      </w:r>
      <w:r>
        <w:rPr>
          <w:sz w:val="21"/>
          <w:szCs w:val="21"/>
        </w:rPr>
        <w:t xml:space="preserve"> were </w:t>
      </w:r>
      <w:r w:rsidRPr="00F3616B">
        <w:rPr>
          <w:sz w:val="21"/>
          <w:szCs w:val="21"/>
        </w:rPr>
        <w:t>well-known farmers and orchardists</w:t>
      </w:r>
      <w:r>
        <w:rPr>
          <w:sz w:val="21"/>
          <w:szCs w:val="21"/>
        </w:rPr>
        <w:t xml:space="preserve"> in the region. It is also aesthetically significant for its unusual design. An earlier significant house exists on the same site, and t</w:t>
      </w:r>
      <w:r w:rsidRPr="00F3616B">
        <w:rPr>
          <w:sz w:val="21"/>
          <w:szCs w:val="21"/>
        </w:rPr>
        <w:t xml:space="preserve">he </w:t>
      </w:r>
      <w:r>
        <w:rPr>
          <w:sz w:val="21"/>
          <w:szCs w:val="21"/>
        </w:rPr>
        <w:t>presence</w:t>
      </w:r>
      <w:r w:rsidRPr="00F3616B">
        <w:rPr>
          <w:sz w:val="21"/>
          <w:szCs w:val="21"/>
        </w:rPr>
        <w:t xml:space="preserve"> of two adjacent farmhouses on one property is </w:t>
      </w:r>
      <w:r>
        <w:rPr>
          <w:sz w:val="21"/>
          <w:szCs w:val="21"/>
        </w:rPr>
        <w:t>uncommon.</w:t>
      </w:r>
    </w:p>
    <w:p w14:paraId="5C856D46" w14:textId="77777777" w:rsidR="00F3616B" w:rsidRDefault="00F3616B" w:rsidP="00EB5097">
      <w:pPr>
        <w:overflowPunct/>
        <w:autoSpaceDE/>
        <w:autoSpaceDN/>
        <w:adjustRightInd/>
        <w:textAlignment w:val="auto"/>
        <w:rPr>
          <w:sz w:val="21"/>
          <w:szCs w:val="21"/>
        </w:rPr>
      </w:pPr>
    </w:p>
    <w:p w14:paraId="7856916C" w14:textId="330D0464" w:rsidR="00B95DC8" w:rsidRPr="00B95DC8" w:rsidRDefault="00B95DC8" w:rsidP="00EB5097">
      <w:pPr>
        <w:overflowPunct/>
        <w:autoSpaceDE/>
        <w:autoSpaceDN/>
        <w:adjustRightInd/>
        <w:textAlignment w:val="auto"/>
        <w:rPr>
          <w:rFonts w:cs="Arial"/>
          <w:bCs/>
          <w:sz w:val="21"/>
          <w:szCs w:val="21"/>
        </w:rPr>
      </w:pPr>
      <w:r>
        <w:rPr>
          <w:rFonts w:cs="Arial"/>
          <w:bCs/>
          <w:sz w:val="21"/>
          <w:szCs w:val="21"/>
        </w:rPr>
        <w:t>Worlingworth</w:t>
      </w:r>
      <w:r w:rsidRPr="00B95DC8">
        <w:rPr>
          <w:rFonts w:cs="Arial"/>
          <w:bCs/>
          <w:sz w:val="21"/>
          <w:szCs w:val="21"/>
        </w:rPr>
        <w:t xml:space="preserve"> at 10-26 Banoon Road, </w:t>
      </w:r>
      <w:r>
        <w:rPr>
          <w:rFonts w:cs="Arial"/>
          <w:bCs/>
          <w:sz w:val="21"/>
          <w:szCs w:val="21"/>
        </w:rPr>
        <w:t>built c1922,</w:t>
      </w:r>
      <w:r w:rsidRPr="00B95DC8">
        <w:rPr>
          <w:rFonts w:cs="Arial"/>
          <w:bCs/>
          <w:sz w:val="21"/>
          <w:szCs w:val="21"/>
        </w:rPr>
        <w:t xml:space="preserve"> is</w:t>
      </w:r>
      <w:r>
        <w:rPr>
          <w:rFonts w:cs="Arial"/>
          <w:bCs/>
          <w:sz w:val="21"/>
          <w:szCs w:val="21"/>
        </w:rPr>
        <w:t xml:space="preserve"> </w:t>
      </w:r>
      <w:r w:rsidRPr="00B95DC8">
        <w:rPr>
          <w:rFonts w:cs="Arial"/>
          <w:bCs/>
          <w:sz w:val="21"/>
          <w:szCs w:val="21"/>
        </w:rPr>
        <w:t>historically significant for its associations with</w:t>
      </w:r>
      <w:r>
        <w:rPr>
          <w:rFonts w:cs="Arial"/>
          <w:bCs/>
          <w:sz w:val="21"/>
          <w:szCs w:val="21"/>
        </w:rPr>
        <w:t xml:space="preserve"> </w:t>
      </w:r>
      <w:r w:rsidRPr="00B95DC8">
        <w:rPr>
          <w:rFonts w:cs="Arial"/>
          <w:bCs/>
          <w:sz w:val="21"/>
          <w:szCs w:val="21"/>
        </w:rPr>
        <w:t>the notable anthropologist Donald Thomson,</w:t>
      </w:r>
      <w:r>
        <w:rPr>
          <w:rFonts w:cs="Arial"/>
          <w:bCs/>
          <w:sz w:val="21"/>
          <w:szCs w:val="21"/>
        </w:rPr>
        <w:t xml:space="preserve"> </w:t>
      </w:r>
      <w:r w:rsidRPr="00B95DC8">
        <w:rPr>
          <w:rFonts w:cs="Arial"/>
          <w:bCs/>
          <w:sz w:val="21"/>
          <w:szCs w:val="21"/>
        </w:rPr>
        <w:t>who lived there from the mid-1930s</w:t>
      </w:r>
      <w:r>
        <w:rPr>
          <w:rFonts w:cs="Arial"/>
          <w:bCs/>
          <w:sz w:val="21"/>
          <w:szCs w:val="21"/>
        </w:rPr>
        <w:t xml:space="preserve"> and because it is one </w:t>
      </w:r>
      <w:r w:rsidRPr="00B95DC8">
        <w:rPr>
          <w:rFonts w:cs="Arial"/>
          <w:bCs/>
          <w:sz w:val="21"/>
          <w:szCs w:val="21"/>
        </w:rPr>
        <w:t>of a few</w:t>
      </w:r>
      <w:r>
        <w:rPr>
          <w:rFonts w:cs="Arial"/>
          <w:bCs/>
          <w:sz w:val="21"/>
          <w:szCs w:val="21"/>
        </w:rPr>
        <w:t xml:space="preserve"> </w:t>
      </w:r>
      <w:r w:rsidRPr="00B95DC8">
        <w:rPr>
          <w:rFonts w:cs="Arial"/>
          <w:bCs/>
          <w:sz w:val="21"/>
          <w:szCs w:val="21"/>
        </w:rPr>
        <w:t>substantial homes erected in the Shire during</w:t>
      </w:r>
    </w:p>
    <w:p w14:paraId="162F80F7" w14:textId="5C5DCC6F" w:rsidR="00F3616B" w:rsidRPr="00F3616B" w:rsidRDefault="00B95DC8" w:rsidP="00EB5097">
      <w:pPr>
        <w:overflowPunct/>
        <w:autoSpaceDE/>
        <w:autoSpaceDN/>
        <w:adjustRightInd/>
        <w:textAlignment w:val="auto"/>
        <w:rPr>
          <w:rFonts w:cs="Arial"/>
          <w:bCs/>
          <w:sz w:val="21"/>
          <w:szCs w:val="21"/>
        </w:rPr>
      </w:pPr>
      <w:r w:rsidRPr="00B95DC8">
        <w:rPr>
          <w:rFonts w:cs="Arial"/>
          <w:bCs/>
          <w:sz w:val="21"/>
          <w:szCs w:val="21"/>
        </w:rPr>
        <w:t>the interwar period</w:t>
      </w:r>
      <w:r>
        <w:rPr>
          <w:rFonts w:cs="Arial"/>
          <w:bCs/>
          <w:sz w:val="21"/>
          <w:szCs w:val="21"/>
        </w:rPr>
        <w:t>.</w:t>
      </w:r>
    </w:p>
    <w:p w14:paraId="0490F95B" w14:textId="77777777" w:rsidR="00F3616B" w:rsidRDefault="00F3616B" w:rsidP="00EB5097">
      <w:pPr>
        <w:overflowPunct/>
        <w:autoSpaceDE/>
        <w:autoSpaceDN/>
        <w:adjustRightInd/>
        <w:textAlignment w:val="auto"/>
        <w:rPr>
          <w:rFonts w:cs="Arial"/>
          <w:bCs/>
          <w:sz w:val="21"/>
          <w:szCs w:val="21"/>
        </w:rPr>
      </w:pPr>
    </w:p>
    <w:p w14:paraId="6668B9F6" w14:textId="52E154AB" w:rsidR="00B95DC8" w:rsidRPr="004F4B25" w:rsidRDefault="004F4B25" w:rsidP="00EB5097">
      <w:pPr>
        <w:overflowPunct/>
        <w:autoSpaceDE/>
        <w:autoSpaceDN/>
        <w:adjustRightInd/>
        <w:textAlignment w:val="auto"/>
        <w:rPr>
          <w:rFonts w:cs="Arial"/>
          <w:bCs/>
          <w:sz w:val="21"/>
          <w:szCs w:val="21"/>
        </w:rPr>
      </w:pPr>
      <w:r w:rsidRPr="004F4B25">
        <w:rPr>
          <w:rFonts w:cs="Arial"/>
          <w:bCs/>
          <w:sz w:val="21"/>
          <w:szCs w:val="21"/>
        </w:rPr>
        <w:t xml:space="preserve">The Orchard House at </w:t>
      </w:r>
      <w:r w:rsidRPr="004F4B25">
        <w:rPr>
          <w:rFonts w:cs="Arial"/>
          <w:sz w:val="21"/>
          <w:szCs w:val="21"/>
        </w:rPr>
        <w:t>25 Cottles Bridge-Strathewen Road</w:t>
      </w:r>
      <w:r w:rsidRPr="004F4B25">
        <w:rPr>
          <w:sz w:val="21"/>
          <w:szCs w:val="21"/>
        </w:rPr>
        <w:t xml:space="preserve">, is significant as one of few brick houses built prior to 1930 in </w:t>
      </w:r>
      <w:r>
        <w:rPr>
          <w:sz w:val="21"/>
          <w:szCs w:val="21"/>
        </w:rPr>
        <w:t>the Shire</w:t>
      </w:r>
      <w:r w:rsidRPr="004F4B25">
        <w:rPr>
          <w:sz w:val="21"/>
          <w:szCs w:val="21"/>
        </w:rPr>
        <w:t xml:space="preserve">. </w:t>
      </w:r>
      <w:r>
        <w:rPr>
          <w:sz w:val="21"/>
          <w:szCs w:val="21"/>
        </w:rPr>
        <w:t>The house is considered significant due to its</w:t>
      </w:r>
      <w:r w:rsidRPr="004F4B25">
        <w:rPr>
          <w:sz w:val="21"/>
          <w:szCs w:val="21"/>
        </w:rPr>
        <w:t xml:space="preserve"> transitional style, </w:t>
      </w:r>
      <w:r w:rsidR="00687F55">
        <w:rPr>
          <w:sz w:val="21"/>
          <w:szCs w:val="21"/>
        </w:rPr>
        <w:t>which demonstrates</w:t>
      </w:r>
      <w:r w:rsidRPr="004F4B25">
        <w:rPr>
          <w:sz w:val="21"/>
          <w:szCs w:val="21"/>
        </w:rPr>
        <w:t xml:space="preserve"> elements of both </w:t>
      </w:r>
      <w:r w:rsidR="00687F55">
        <w:rPr>
          <w:sz w:val="21"/>
          <w:szCs w:val="21"/>
        </w:rPr>
        <w:t>federation and</w:t>
      </w:r>
      <w:r w:rsidRPr="004F4B25">
        <w:rPr>
          <w:sz w:val="21"/>
          <w:szCs w:val="21"/>
        </w:rPr>
        <w:t xml:space="preserve"> interwar </w:t>
      </w:r>
      <w:r w:rsidR="00687F55">
        <w:rPr>
          <w:sz w:val="21"/>
          <w:szCs w:val="21"/>
        </w:rPr>
        <w:t>bungalow styles</w:t>
      </w:r>
      <w:r w:rsidRPr="004F4B25">
        <w:rPr>
          <w:sz w:val="21"/>
          <w:szCs w:val="21"/>
        </w:rPr>
        <w:t xml:space="preserve">. </w:t>
      </w:r>
    </w:p>
    <w:p w14:paraId="5EA8E034" w14:textId="77777777" w:rsidR="004F4B25" w:rsidRDefault="004F4B25" w:rsidP="00EB5097">
      <w:pPr>
        <w:overflowPunct/>
        <w:autoSpaceDE/>
        <w:autoSpaceDN/>
        <w:adjustRightInd/>
        <w:textAlignment w:val="auto"/>
        <w:rPr>
          <w:rFonts w:cs="Arial"/>
          <w:bCs/>
          <w:sz w:val="21"/>
          <w:szCs w:val="21"/>
        </w:rPr>
      </w:pPr>
    </w:p>
    <w:p w14:paraId="39796C30" w14:textId="77777777" w:rsidR="00A61A4B" w:rsidRDefault="0019264A" w:rsidP="00EB5097">
      <w:pPr>
        <w:overflowPunct/>
        <w:autoSpaceDE/>
        <w:autoSpaceDN/>
        <w:adjustRightInd/>
        <w:textAlignment w:val="auto"/>
        <w:rPr>
          <w:rFonts w:cs="Arial"/>
          <w:bCs/>
          <w:sz w:val="21"/>
          <w:szCs w:val="21"/>
        </w:rPr>
      </w:pPr>
      <w:r>
        <w:rPr>
          <w:rFonts w:cs="Arial"/>
          <w:bCs/>
          <w:sz w:val="21"/>
          <w:szCs w:val="21"/>
        </w:rPr>
        <w:lastRenderedPageBreak/>
        <w:t>The subject site is similar to the above examples due to its age, siting</w:t>
      </w:r>
      <w:r w:rsidR="008341D4">
        <w:rPr>
          <w:rFonts w:cs="Arial"/>
          <w:bCs/>
          <w:sz w:val="21"/>
          <w:szCs w:val="21"/>
        </w:rPr>
        <w:t xml:space="preserve">, and substantial brick construction. Despite this, </w:t>
      </w:r>
      <w:r w:rsidR="00C30BD8" w:rsidRPr="00C30BD8">
        <w:rPr>
          <w:rFonts w:cs="Arial"/>
          <w:bCs/>
          <w:sz w:val="21"/>
          <w:szCs w:val="21"/>
        </w:rPr>
        <w:t xml:space="preserve">the subject site is set apart from the houses at 25 Cottles Bridge-Strathewen Road and 10-26 Banoon Road, which both exhibit the more recognisable characteristics of interwar bungalows with their prominent gable roofs and projecting bay windows. </w:t>
      </w:r>
      <w:r w:rsidR="009603ED">
        <w:rPr>
          <w:rFonts w:cs="Arial"/>
          <w:bCs/>
          <w:sz w:val="21"/>
          <w:szCs w:val="21"/>
        </w:rPr>
        <w:t>Although similar in age and materiality, t</w:t>
      </w:r>
      <w:r w:rsidR="00C30BD8" w:rsidRPr="00C30BD8">
        <w:rPr>
          <w:rFonts w:cs="Arial"/>
          <w:bCs/>
          <w:sz w:val="21"/>
          <w:szCs w:val="21"/>
        </w:rPr>
        <w:t xml:space="preserve">he subject site is </w:t>
      </w:r>
      <w:r w:rsidR="009603ED">
        <w:rPr>
          <w:rFonts w:cs="Arial"/>
          <w:bCs/>
          <w:sz w:val="21"/>
          <w:szCs w:val="21"/>
        </w:rPr>
        <w:t xml:space="preserve">set apart from the </w:t>
      </w:r>
      <w:r w:rsidR="00A325DE">
        <w:rPr>
          <w:rFonts w:cs="Arial"/>
          <w:bCs/>
          <w:sz w:val="21"/>
          <w:szCs w:val="21"/>
        </w:rPr>
        <w:t>Brinkotter House</w:t>
      </w:r>
      <w:r w:rsidR="00C30BD8" w:rsidRPr="00C30BD8">
        <w:rPr>
          <w:rFonts w:cs="Arial"/>
          <w:bCs/>
          <w:sz w:val="21"/>
          <w:szCs w:val="21"/>
        </w:rPr>
        <w:t xml:space="preserve"> at 32 Lindon Strike Court, </w:t>
      </w:r>
      <w:r w:rsidR="009603ED">
        <w:rPr>
          <w:rFonts w:cs="Arial"/>
          <w:bCs/>
          <w:sz w:val="21"/>
          <w:szCs w:val="21"/>
        </w:rPr>
        <w:t xml:space="preserve">which is more alike a traditional homestead with its simple rectangular form and surrounding veranda contained underneath a single hipped roof. </w:t>
      </w:r>
      <w:r w:rsidR="00DB497A">
        <w:rPr>
          <w:rFonts w:cs="Arial"/>
          <w:bCs/>
          <w:sz w:val="21"/>
          <w:szCs w:val="21"/>
        </w:rPr>
        <w:t xml:space="preserve">Should the original c1907 farmhouse be present at the subject site, it would be a similar to the Brinkotter </w:t>
      </w:r>
      <w:r w:rsidR="00A325DE">
        <w:rPr>
          <w:rFonts w:cs="Arial"/>
          <w:bCs/>
          <w:sz w:val="21"/>
          <w:szCs w:val="21"/>
        </w:rPr>
        <w:t xml:space="preserve">House as an example of two farmhouses coexisting on the same site. </w:t>
      </w:r>
      <w:r w:rsidR="00A61A4B">
        <w:rPr>
          <w:rFonts w:cs="Arial"/>
          <w:bCs/>
          <w:sz w:val="21"/>
          <w:szCs w:val="21"/>
        </w:rPr>
        <w:t xml:space="preserve"> </w:t>
      </w:r>
    </w:p>
    <w:p w14:paraId="43205230" w14:textId="77777777" w:rsidR="00A61A4B" w:rsidRDefault="00A61A4B" w:rsidP="00EB5097">
      <w:pPr>
        <w:overflowPunct/>
        <w:autoSpaceDE/>
        <w:autoSpaceDN/>
        <w:adjustRightInd/>
        <w:textAlignment w:val="auto"/>
        <w:rPr>
          <w:rFonts w:cs="Arial"/>
          <w:bCs/>
          <w:sz w:val="21"/>
          <w:szCs w:val="21"/>
        </w:rPr>
      </w:pPr>
    </w:p>
    <w:p w14:paraId="3471EF35" w14:textId="794E1248" w:rsidR="005C070D" w:rsidRDefault="009603ED" w:rsidP="00EB5097">
      <w:pPr>
        <w:overflowPunct/>
        <w:autoSpaceDE/>
        <w:autoSpaceDN/>
        <w:adjustRightInd/>
        <w:textAlignment w:val="auto"/>
        <w:rPr>
          <w:rFonts w:cs="Arial"/>
          <w:bCs/>
          <w:sz w:val="21"/>
          <w:szCs w:val="21"/>
        </w:rPr>
      </w:pPr>
      <w:r>
        <w:rPr>
          <w:rFonts w:cs="Arial"/>
          <w:bCs/>
          <w:sz w:val="21"/>
          <w:szCs w:val="21"/>
        </w:rPr>
        <w:t>T</w:t>
      </w:r>
      <w:r w:rsidR="00C30BD8" w:rsidRPr="00C30BD8">
        <w:rPr>
          <w:rFonts w:cs="Arial"/>
          <w:bCs/>
          <w:sz w:val="21"/>
          <w:szCs w:val="21"/>
        </w:rPr>
        <w:t xml:space="preserve">he subject site demonstrates an unusual use of </w:t>
      </w:r>
      <w:r w:rsidR="00462CA1">
        <w:rPr>
          <w:rFonts w:cs="Arial"/>
          <w:bCs/>
          <w:sz w:val="21"/>
          <w:szCs w:val="21"/>
        </w:rPr>
        <w:t>a two-storey form</w:t>
      </w:r>
      <w:r w:rsidR="00C30BD8" w:rsidRPr="00C30BD8">
        <w:rPr>
          <w:rFonts w:cs="Arial"/>
          <w:bCs/>
          <w:sz w:val="21"/>
          <w:szCs w:val="21"/>
        </w:rPr>
        <w:t xml:space="preserve"> </w:t>
      </w:r>
      <w:r w:rsidR="00462CA1">
        <w:rPr>
          <w:rFonts w:cs="Arial"/>
          <w:bCs/>
          <w:sz w:val="21"/>
          <w:szCs w:val="21"/>
        </w:rPr>
        <w:t>within the Shire</w:t>
      </w:r>
      <w:r w:rsidR="00B62369">
        <w:rPr>
          <w:rFonts w:cs="Arial"/>
          <w:bCs/>
          <w:sz w:val="21"/>
          <w:szCs w:val="21"/>
        </w:rPr>
        <w:t>, which further elevates its significance as a substantial interwar farmhouse in the municipality</w:t>
      </w:r>
      <w:r w:rsidR="00C30BD8" w:rsidRPr="00C30BD8">
        <w:rPr>
          <w:rFonts w:cs="Arial"/>
          <w:bCs/>
          <w:sz w:val="21"/>
          <w:szCs w:val="21"/>
        </w:rPr>
        <w:t xml:space="preserve">. Overall, </w:t>
      </w:r>
      <w:r>
        <w:rPr>
          <w:rFonts w:cs="Arial"/>
          <w:bCs/>
          <w:sz w:val="21"/>
          <w:szCs w:val="21"/>
        </w:rPr>
        <w:t xml:space="preserve">the </w:t>
      </w:r>
      <w:r w:rsidR="00C30BD8" w:rsidRPr="00C30BD8">
        <w:rPr>
          <w:rFonts w:cs="Arial"/>
          <w:bCs/>
          <w:sz w:val="21"/>
          <w:szCs w:val="21"/>
        </w:rPr>
        <w:t>subject site compares favourably against these examples</w:t>
      </w:r>
      <w:r w:rsidR="00B62369">
        <w:rPr>
          <w:rFonts w:cs="Arial"/>
          <w:bCs/>
          <w:sz w:val="21"/>
          <w:szCs w:val="21"/>
        </w:rPr>
        <w:t xml:space="preserve">. </w:t>
      </w:r>
    </w:p>
    <w:p w14:paraId="6AD531CD" w14:textId="77777777" w:rsidR="00B62369" w:rsidRPr="00C30BD8" w:rsidRDefault="00B62369" w:rsidP="00EB5097">
      <w:pPr>
        <w:overflowPunct/>
        <w:autoSpaceDE/>
        <w:autoSpaceDN/>
        <w:adjustRightInd/>
        <w:textAlignment w:val="auto"/>
        <w:rPr>
          <w:rFonts w:cs="Arial"/>
          <w:bCs/>
          <w:sz w:val="21"/>
          <w:szCs w:val="21"/>
        </w:rPr>
      </w:pPr>
    </w:p>
    <w:p w14:paraId="569150DB" w14:textId="77777777" w:rsidR="00B62369" w:rsidRDefault="00B62369" w:rsidP="00EB5097">
      <w:pPr>
        <w:overflowPunct/>
        <w:autoSpaceDE/>
        <w:autoSpaceDN/>
        <w:adjustRightInd/>
        <w:textAlignment w:val="auto"/>
        <w:rPr>
          <w:rFonts w:cs="Arial"/>
          <w:b/>
          <w:sz w:val="21"/>
          <w:szCs w:val="21"/>
        </w:rPr>
      </w:pPr>
      <w:r>
        <w:rPr>
          <w:rFonts w:cs="Arial"/>
          <w:b/>
          <w:sz w:val="21"/>
          <w:szCs w:val="21"/>
        </w:rPr>
        <w:br w:type="page"/>
      </w:r>
    </w:p>
    <w:p w14:paraId="4DF17408" w14:textId="0891A5C6" w:rsidR="00F0333B" w:rsidRPr="00533CF2" w:rsidRDefault="00F0333B" w:rsidP="0053253F">
      <w:pPr>
        <w:rPr>
          <w:rFonts w:cs="Arial"/>
          <w:b/>
          <w:sz w:val="21"/>
          <w:szCs w:val="21"/>
        </w:rPr>
      </w:pPr>
      <w:r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12D01CA0" w14:textId="78E303E7" w:rsidR="00786834" w:rsidRPr="00786834" w:rsidRDefault="00786834" w:rsidP="3FC870CB">
      <w:pPr>
        <w:rPr>
          <w:rFonts w:cs="Arial"/>
          <w:sz w:val="21"/>
          <w:szCs w:val="21"/>
        </w:rPr>
      </w:pPr>
      <w:r>
        <w:rPr>
          <w:rFonts w:cs="Arial"/>
          <w:i/>
          <w:iCs/>
          <w:sz w:val="21"/>
          <w:szCs w:val="21"/>
        </w:rPr>
        <w:br/>
      </w:r>
      <w:r w:rsidRPr="00786834">
        <w:rPr>
          <w:rFonts w:cs="Arial"/>
          <w:sz w:val="21"/>
          <w:szCs w:val="21"/>
        </w:rPr>
        <w:t xml:space="preserve">The Harton Hills farm complex at 405 Ryans Road, Diamond Creek is historically significant for its illustration of farming in the Diamond Creek district since the early 1900s. The most significant occupation of the property was by Alison </w:t>
      </w:r>
      <w:r w:rsidR="00183B2D">
        <w:rPr>
          <w:rFonts w:cs="Arial"/>
          <w:sz w:val="21"/>
          <w:szCs w:val="21"/>
        </w:rPr>
        <w:t>and Harold</w:t>
      </w:r>
      <w:r w:rsidRPr="00786834">
        <w:rPr>
          <w:rFonts w:cs="Arial"/>
          <w:sz w:val="21"/>
          <w:szCs w:val="21"/>
        </w:rPr>
        <w:t xml:space="preserve"> Davis from 1935 until 1949 when the current </w:t>
      </w:r>
      <w:r w:rsidR="00183B2D">
        <w:rPr>
          <w:rFonts w:cs="Arial"/>
          <w:sz w:val="21"/>
          <w:szCs w:val="21"/>
        </w:rPr>
        <w:t>c</w:t>
      </w:r>
      <w:r w:rsidRPr="00786834">
        <w:rPr>
          <w:rFonts w:cs="Arial"/>
          <w:sz w:val="21"/>
          <w:szCs w:val="21"/>
        </w:rPr>
        <w:t>1930s residence was constructed</w:t>
      </w:r>
      <w:r w:rsidR="00C45E03">
        <w:rPr>
          <w:rFonts w:cs="Arial"/>
          <w:sz w:val="21"/>
          <w:szCs w:val="21"/>
        </w:rPr>
        <w:t>,</w:t>
      </w:r>
      <w:r w:rsidRPr="00786834">
        <w:rPr>
          <w:rFonts w:cs="Arial"/>
          <w:sz w:val="21"/>
          <w:szCs w:val="21"/>
        </w:rPr>
        <w:t xml:space="preserve"> and dog breeding was undertaken at the property as well as it being a Jersey stud. The site also has associations with orchard farming in the area, which was undertaken </w:t>
      </w:r>
      <w:r w:rsidR="00C45E03">
        <w:rPr>
          <w:rFonts w:cs="Arial"/>
          <w:sz w:val="21"/>
          <w:szCs w:val="21"/>
        </w:rPr>
        <w:t>by the Coventry family.</w:t>
      </w:r>
      <w:r w:rsidRPr="00786834">
        <w:rPr>
          <w:rFonts w:cs="Arial"/>
          <w:sz w:val="21"/>
          <w:szCs w:val="21"/>
        </w:rPr>
        <w:t xml:space="preserve"> </w:t>
      </w:r>
    </w:p>
    <w:p w14:paraId="08A8D916" w14:textId="77777777" w:rsidR="0030501C" w:rsidRDefault="0030501C" w:rsidP="0053253F">
      <w:pPr>
        <w:rPr>
          <w:rFonts w:cs="Arial"/>
          <w:sz w:val="21"/>
          <w:szCs w:val="21"/>
        </w:rPr>
      </w:pP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1CE9423" w14:textId="77777777" w:rsidR="009B6330" w:rsidRDefault="009B6330" w:rsidP="0053253F">
      <w:pPr>
        <w:rPr>
          <w:rFonts w:cs="Arial"/>
          <w:sz w:val="21"/>
          <w:szCs w:val="21"/>
        </w:rPr>
      </w:pP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77777777" w:rsidR="00A443BF" w:rsidRPr="00533CF2" w:rsidRDefault="00A443BF" w:rsidP="0053253F">
      <w:pPr>
        <w:rPr>
          <w:rFonts w:cs="Arial"/>
          <w:sz w:val="21"/>
          <w:szCs w:val="21"/>
        </w:rPr>
      </w:pPr>
    </w:p>
    <w:p w14:paraId="458BE668" w14:textId="77777777" w:rsidR="003F57F8" w:rsidRPr="00533CF2" w:rsidRDefault="003F57F8" w:rsidP="0053253F">
      <w:pPr>
        <w:rPr>
          <w:rFonts w:cs="Arial"/>
          <w:i/>
          <w:sz w:val="21"/>
          <w:szCs w:val="21"/>
        </w:rPr>
      </w:pPr>
    </w:p>
    <w:p w14:paraId="23130411" w14:textId="77777777" w:rsidR="00A443BF" w:rsidRDefault="00A443BF" w:rsidP="0053253F">
      <w:pPr>
        <w:rPr>
          <w:rFonts w:cs="Arial"/>
          <w:i/>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4A1E5872" w14:textId="7F07F023" w:rsidR="00F65B25" w:rsidRPr="00F65B25" w:rsidRDefault="00F65B25" w:rsidP="0053253F">
      <w:pPr>
        <w:rPr>
          <w:rFonts w:cs="Arial"/>
          <w:iCs/>
          <w:sz w:val="21"/>
          <w:szCs w:val="21"/>
        </w:rPr>
      </w:pP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50ACDFA2" w14:textId="77777777" w:rsidR="00347F8A" w:rsidRDefault="00347F8A" w:rsidP="00347F8A">
      <w:pPr>
        <w:rPr>
          <w:rFonts w:cs="Arial"/>
          <w:i/>
          <w:sz w:val="21"/>
          <w:szCs w:val="21"/>
        </w:rPr>
      </w:pPr>
    </w:p>
    <w:p w14:paraId="02CD8DBB" w14:textId="53FF5C91" w:rsidR="00A443BF" w:rsidRPr="00533CF2" w:rsidRDefault="00347F8A" w:rsidP="00347F8A">
      <w:pPr>
        <w:rPr>
          <w:rFonts w:cs="Arial"/>
          <w:sz w:val="21"/>
          <w:szCs w:val="21"/>
        </w:rPr>
      </w:pPr>
      <w:r w:rsidRPr="00F65B25">
        <w:rPr>
          <w:rFonts w:cs="Arial"/>
          <w:iCs/>
          <w:sz w:val="21"/>
          <w:szCs w:val="21"/>
        </w:rPr>
        <w:t xml:space="preserve">The 1930s farmhouse is aesthetically significant as </w:t>
      </w:r>
      <w:r w:rsidR="00A340F8">
        <w:rPr>
          <w:rFonts w:cs="Arial"/>
          <w:iCs/>
          <w:sz w:val="21"/>
          <w:szCs w:val="21"/>
        </w:rPr>
        <w:t>a distinctive</w:t>
      </w:r>
      <w:r w:rsidRPr="00F65B25">
        <w:rPr>
          <w:rFonts w:cs="Arial"/>
          <w:iCs/>
          <w:sz w:val="21"/>
          <w:szCs w:val="21"/>
        </w:rPr>
        <w:t xml:space="preserve"> example of a substantial inter-war brick farmhouse. The two</w:t>
      </w:r>
      <w:r>
        <w:rPr>
          <w:rFonts w:cs="Arial"/>
          <w:iCs/>
          <w:sz w:val="21"/>
          <w:szCs w:val="21"/>
        </w:rPr>
        <w:t>-</w:t>
      </w:r>
      <w:r w:rsidRPr="00F65B25">
        <w:rPr>
          <w:rFonts w:cs="Arial"/>
          <w:iCs/>
          <w:sz w:val="21"/>
          <w:szCs w:val="21"/>
        </w:rPr>
        <w:t xml:space="preserve">storey nature of the building is </w:t>
      </w:r>
      <w:r w:rsidR="00710AB0">
        <w:rPr>
          <w:rFonts w:cs="Arial"/>
          <w:iCs/>
          <w:sz w:val="21"/>
          <w:szCs w:val="21"/>
        </w:rPr>
        <w:t>unusual and makes this example stand out in the Shire</w:t>
      </w:r>
      <w:r w:rsidRPr="00F65B25">
        <w:rPr>
          <w:rFonts w:cs="Arial"/>
          <w:iCs/>
          <w:sz w:val="21"/>
          <w:szCs w:val="21"/>
        </w:rPr>
        <w:t xml:space="preserve">. The outbuildings on the site demonstrate the operation of </w:t>
      </w:r>
      <w:r>
        <w:rPr>
          <w:rFonts w:cs="Arial"/>
          <w:iCs/>
          <w:sz w:val="21"/>
          <w:szCs w:val="21"/>
        </w:rPr>
        <w:t>t</w:t>
      </w:r>
      <w:r w:rsidRPr="00F65B25">
        <w:rPr>
          <w:rFonts w:cs="Arial"/>
          <w:iCs/>
          <w:sz w:val="21"/>
          <w:szCs w:val="21"/>
        </w:rPr>
        <w:t>he farm during the 1930s and 1940s. The Monterey cypress drive contributes to the setting of the place and emphasises its grandeur.</w:t>
      </w: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50D8E8CC" w:rsidR="00437685" w:rsidRDefault="00437685" w:rsidP="0053253F">
      <w:pPr>
        <w:rPr>
          <w:rFonts w:cs="Arial"/>
          <w:i/>
          <w:sz w:val="21"/>
          <w:szCs w:val="21"/>
        </w:rPr>
      </w:pP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7EE1D690" w14:textId="77777777" w:rsidR="006E17E9" w:rsidRDefault="006E17E9" w:rsidP="0053253F">
      <w:pPr>
        <w:rPr>
          <w:rFonts w:cs="Arial"/>
          <w:sz w:val="21"/>
          <w:szCs w:val="21"/>
        </w:rPr>
      </w:pPr>
    </w:p>
    <w:p w14:paraId="081CDC08" w14:textId="0C718140" w:rsidR="00CF6F1F" w:rsidRDefault="00CF6F1F" w:rsidP="00824BFA">
      <w:pPr>
        <w:rPr>
          <w:rFonts w:cs="Arial"/>
          <w:b/>
          <w:sz w:val="21"/>
          <w:szCs w:val="21"/>
        </w:rPr>
      </w:pPr>
    </w:p>
    <w:p w14:paraId="3AEB7EE8" w14:textId="77777777" w:rsidR="00C65A01" w:rsidRDefault="00C65A01" w:rsidP="00824BFA">
      <w:pPr>
        <w:rPr>
          <w:rFonts w:cs="Arial"/>
          <w:b/>
          <w:sz w:val="21"/>
          <w:szCs w:val="21"/>
        </w:rPr>
      </w:pPr>
    </w:p>
    <w:p w14:paraId="29F236A6" w14:textId="77777777" w:rsidR="00C65A01" w:rsidRDefault="00C65A01" w:rsidP="00824BFA">
      <w:pPr>
        <w:rPr>
          <w:rFonts w:cs="Arial"/>
          <w:b/>
          <w:sz w:val="21"/>
          <w:szCs w:val="21"/>
        </w:rPr>
      </w:pPr>
    </w:p>
    <w:p w14:paraId="186283AC" w14:textId="77777777" w:rsidR="00C65A01" w:rsidRDefault="00C65A01" w:rsidP="00824BFA">
      <w:pPr>
        <w:rPr>
          <w:rFonts w:cs="Arial"/>
          <w:b/>
          <w:sz w:val="21"/>
          <w:szCs w:val="21"/>
        </w:rPr>
      </w:pPr>
    </w:p>
    <w:p w14:paraId="4EFD1354" w14:textId="77777777" w:rsidR="00C65A01" w:rsidRDefault="00C65A01" w:rsidP="00824BFA">
      <w:pPr>
        <w:rPr>
          <w:rFonts w:cs="Arial"/>
          <w:b/>
          <w:sz w:val="21"/>
          <w:szCs w:val="21"/>
        </w:rPr>
      </w:pPr>
    </w:p>
    <w:p w14:paraId="5A04B498" w14:textId="0F353AC9" w:rsidR="00F0333B" w:rsidRDefault="00F0333B" w:rsidP="0053253F">
      <w:pPr>
        <w:rPr>
          <w:rFonts w:cs="Arial"/>
          <w:b/>
          <w:sz w:val="21"/>
          <w:szCs w:val="21"/>
        </w:rPr>
      </w:pPr>
      <w:r w:rsidRPr="00533CF2">
        <w:rPr>
          <w:rFonts w:cs="Arial"/>
          <w:b/>
          <w:sz w:val="21"/>
          <w:szCs w:val="21"/>
        </w:rPr>
        <w:lastRenderedPageBreak/>
        <w:t>Statement of Significance</w:t>
      </w:r>
    </w:p>
    <w:p w14:paraId="14D94203" w14:textId="77777777" w:rsidR="00DC4E68" w:rsidRPr="00533CF2" w:rsidRDefault="00DC4E68" w:rsidP="0053253F">
      <w:pPr>
        <w:rPr>
          <w:rFonts w:cs="Arial"/>
          <w:b/>
          <w:sz w:val="21"/>
          <w:szCs w:val="21"/>
        </w:rPr>
      </w:pPr>
    </w:p>
    <w:p w14:paraId="47BBB96F" w14:textId="77777777" w:rsidR="00DC4E68" w:rsidRPr="00CF6F1F" w:rsidRDefault="00DC4E68" w:rsidP="00DC4E68">
      <w:pPr>
        <w:rPr>
          <w:rFonts w:cs="Arial"/>
          <w:b/>
          <w:bCs/>
          <w:i/>
          <w:sz w:val="21"/>
          <w:szCs w:val="21"/>
        </w:rPr>
      </w:pPr>
      <w:r w:rsidRPr="00CF6F1F">
        <w:rPr>
          <w:rFonts w:cs="Arial"/>
          <w:b/>
          <w:bCs/>
          <w:i/>
          <w:sz w:val="21"/>
          <w:szCs w:val="21"/>
        </w:rPr>
        <w:t>What is Significant?</w:t>
      </w:r>
    </w:p>
    <w:p w14:paraId="08864789" w14:textId="77777777" w:rsidR="00033CB0" w:rsidRPr="00DC4E68" w:rsidRDefault="00033CB0" w:rsidP="00DC4E68">
      <w:pPr>
        <w:rPr>
          <w:rFonts w:cs="Arial"/>
          <w:i/>
          <w:sz w:val="21"/>
          <w:szCs w:val="21"/>
        </w:rPr>
      </w:pPr>
    </w:p>
    <w:p w14:paraId="482FD2A7" w14:textId="2385B325" w:rsidR="00DC4E68" w:rsidRDefault="00033CB0" w:rsidP="00DC4E68">
      <w:pPr>
        <w:rPr>
          <w:rFonts w:cs="Arial"/>
          <w:sz w:val="21"/>
          <w:szCs w:val="21"/>
        </w:rPr>
      </w:pPr>
      <w:r w:rsidRPr="00033CB0">
        <w:rPr>
          <w:rFonts w:cs="Arial"/>
          <w:sz w:val="21"/>
          <w:szCs w:val="21"/>
        </w:rPr>
        <w:t>The Harton Hills farm complex at 405 Ryans Road, Diamond Creek. The original form, materials and detailing of the c1907 farmhouse, 1930s farmhouse and outbuildings and the Monterey cypress drive and their setting contribute to the significance of the place.</w:t>
      </w:r>
    </w:p>
    <w:p w14:paraId="31EAAB77" w14:textId="77777777" w:rsidR="00033CB0" w:rsidRPr="00DC4E68" w:rsidRDefault="00033CB0" w:rsidP="00DC4E68">
      <w:pPr>
        <w:rPr>
          <w:rFonts w:cs="Arial"/>
          <w:sz w:val="21"/>
          <w:szCs w:val="21"/>
        </w:rPr>
      </w:pPr>
    </w:p>
    <w:p w14:paraId="6DB11D2B" w14:textId="77777777" w:rsidR="00DC4E68" w:rsidRPr="00CF6F1F" w:rsidRDefault="00DC4E68" w:rsidP="00DC4E68">
      <w:pPr>
        <w:rPr>
          <w:rFonts w:cs="Arial"/>
          <w:b/>
          <w:bCs/>
          <w:i/>
          <w:sz w:val="21"/>
          <w:szCs w:val="21"/>
        </w:rPr>
      </w:pPr>
      <w:r w:rsidRPr="00CF6F1F">
        <w:rPr>
          <w:rFonts w:cs="Arial"/>
          <w:b/>
          <w:bCs/>
          <w:i/>
          <w:sz w:val="21"/>
          <w:szCs w:val="21"/>
        </w:rPr>
        <w:t>How is it significant?</w:t>
      </w:r>
    </w:p>
    <w:p w14:paraId="32110D11" w14:textId="77777777" w:rsidR="00033CB0" w:rsidRPr="00DC4E68" w:rsidRDefault="00033CB0" w:rsidP="00DC4E68">
      <w:pPr>
        <w:rPr>
          <w:rFonts w:cs="Arial"/>
          <w:i/>
          <w:sz w:val="21"/>
          <w:szCs w:val="21"/>
        </w:rPr>
      </w:pPr>
    </w:p>
    <w:p w14:paraId="56594668" w14:textId="60B47837" w:rsidR="00DC4E68" w:rsidRDefault="006E3456" w:rsidP="00DC4E68">
      <w:pPr>
        <w:rPr>
          <w:rFonts w:cs="Arial"/>
          <w:sz w:val="21"/>
          <w:szCs w:val="21"/>
        </w:rPr>
      </w:pPr>
      <w:r w:rsidRPr="006E3456">
        <w:rPr>
          <w:rFonts w:cs="Arial"/>
          <w:sz w:val="21"/>
          <w:szCs w:val="21"/>
        </w:rPr>
        <w:t>The Harton Hills farm complex at 405 Ryans Road, Diamond Creek is of local historic and aesthetic significance to the Shire of Nillumbik.</w:t>
      </w:r>
    </w:p>
    <w:p w14:paraId="49CE2BD1" w14:textId="77777777" w:rsidR="006E3456" w:rsidRPr="00DC4E68" w:rsidRDefault="006E3456" w:rsidP="00DC4E68">
      <w:pPr>
        <w:rPr>
          <w:rFonts w:cs="Arial"/>
          <w:sz w:val="21"/>
          <w:szCs w:val="21"/>
        </w:rPr>
      </w:pPr>
    </w:p>
    <w:p w14:paraId="39EEDC0C" w14:textId="77777777" w:rsidR="00DC4E68" w:rsidRPr="00CF6F1F" w:rsidRDefault="00DC4E68" w:rsidP="00DC4E68">
      <w:pPr>
        <w:rPr>
          <w:rFonts w:cs="Arial"/>
          <w:b/>
          <w:bCs/>
          <w:i/>
          <w:sz w:val="21"/>
          <w:szCs w:val="21"/>
        </w:rPr>
      </w:pPr>
      <w:r w:rsidRPr="00CF6F1F">
        <w:rPr>
          <w:rFonts w:cs="Arial"/>
          <w:b/>
          <w:bCs/>
          <w:i/>
          <w:sz w:val="21"/>
          <w:szCs w:val="21"/>
        </w:rPr>
        <w:t>Why is it significant?</w:t>
      </w:r>
    </w:p>
    <w:p w14:paraId="26DCD827" w14:textId="77777777" w:rsidR="00CF6F1F" w:rsidRPr="00DC4E68" w:rsidRDefault="00CF6F1F" w:rsidP="00DC4E68">
      <w:pPr>
        <w:rPr>
          <w:rFonts w:cs="Arial"/>
          <w:i/>
          <w:sz w:val="21"/>
          <w:szCs w:val="21"/>
        </w:rPr>
      </w:pPr>
    </w:p>
    <w:p w14:paraId="55C97665" w14:textId="12BD63BC" w:rsidR="00CF6F1F" w:rsidRPr="00CF6F1F" w:rsidRDefault="00CF6F1F" w:rsidP="00CF6F1F">
      <w:pPr>
        <w:rPr>
          <w:rFonts w:cs="Arial"/>
          <w:sz w:val="21"/>
          <w:szCs w:val="21"/>
        </w:rPr>
      </w:pPr>
      <w:r w:rsidRPr="00CF6F1F">
        <w:rPr>
          <w:rFonts w:cs="Arial"/>
          <w:sz w:val="21"/>
          <w:szCs w:val="21"/>
        </w:rPr>
        <w:t>The Harton Hills farm complex at 405 Ryans Road, Diamond Creek is historically significant for its illustration of farming in the Diamond Creek district</w:t>
      </w:r>
      <w:r w:rsidR="00867C68">
        <w:rPr>
          <w:rFonts w:cs="Arial"/>
          <w:sz w:val="21"/>
          <w:szCs w:val="21"/>
        </w:rPr>
        <w:t>, which remained an integral part of the economic life of the district through the Interwar period</w:t>
      </w:r>
      <w:r w:rsidRPr="00CF6F1F">
        <w:rPr>
          <w:rFonts w:cs="Arial"/>
          <w:sz w:val="21"/>
          <w:szCs w:val="21"/>
        </w:rPr>
        <w:t>. The most significant occupation of the property was by Alison Stewart Davis and Harold Carmichael Davis from 1935 until 1949</w:t>
      </w:r>
      <w:r w:rsidR="00AC5152">
        <w:rPr>
          <w:rFonts w:cs="Arial"/>
          <w:sz w:val="21"/>
          <w:szCs w:val="21"/>
        </w:rPr>
        <w:t>,</w:t>
      </w:r>
      <w:r w:rsidRPr="00CF6F1F">
        <w:rPr>
          <w:rFonts w:cs="Arial"/>
          <w:sz w:val="21"/>
          <w:szCs w:val="21"/>
        </w:rPr>
        <w:t xml:space="preserve"> when the current </w:t>
      </w:r>
      <w:r w:rsidR="005B0FB5">
        <w:rPr>
          <w:rFonts w:cs="Arial"/>
          <w:sz w:val="21"/>
          <w:szCs w:val="21"/>
        </w:rPr>
        <w:t>c</w:t>
      </w:r>
      <w:r w:rsidRPr="00CF6F1F">
        <w:rPr>
          <w:rFonts w:cs="Arial"/>
          <w:sz w:val="21"/>
          <w:szCs w:val="21"/>
        </w:rPr>
        <w:t>1930s</w:t>
      </w:r>
      <w:r w:rsidR="00AC5152">
        <w:rPr>
          <w:rFonts w:cs="Arial"/>
          <w:sz w:val="21"/>
          <w:szCs w:val="21"/>
        </w:rPr>
        <w:t xml:space="preserve"> two-storey brick</w:t>
      </w:r>
      <w:r w:rsidRPr="00CF6F1F">
        <w:rPr>
          <w:rFonts w:cs="Arial"/>
          <w:sz w:val="21"/>
          <w:szCs w:val="21"/>
        </w:rPr>
        <w:t xml:space="preserve"> residence was constructed and dog breeding </w:t>
      </w:r>
      <w:r w:rsidR="007004BF">
        <w:rPr>
          <w:rFonts w:cs="Arial"/>
          <w:sz w:val="21"/>
          <w:szCs w:val="21"/>
        </w:rPr>
        <w:t xml:space="preserve">was undertaken at the site. It is also during this period that the Davises </w:t>
      </w:r>
      <w:r w:rsidR="009E05BA">
        <w:rPr>
          <w:rFonts w:cs="Arial"/>
          <w:sz w:val="21"/>
          <w:szCs w:val="21"/>
        </w:rPr>
        <w:t xml:space="preserve">operated </w:t>
      </w:r>
      <w:r w:rsidRPr="00CF6F1F">
        <w:rPr>
          <w:rFonts w:cs="Arial"/>
          <w:sz w:val="21"/>
          <w:szCs w:val="21"/>
        </w:rPr>
        <w:t>a Jersey stud</w:t>
      </w:r>
      <w:r w:rsidR="00AC5152">
        <w:rPr>
          <w:rFonts w:cs="Arial"/>
          <w:sz w:val="21"/>
          <w:szCs w:val="21"/>
        </w:rPr>
        <w:t xml:space="preserve"> </w:t>
      </w:r>
      <w:r w:rsidR="009E05BA">
        <w:rPr>
          <w:rFonts w:cs="Arial"/>
          <w:sz w:val="21"/>
          <w:szCs w:val="21"/>
        </w:rPr>
        <w:t>at the site</w:t>
      </w:r>
      <w:r w:rsidRPr="00CF6F1F">
        <w:rPr>
          <w:rFonts w:cs="Arial"/>
          <w:sz w:val="21"/>
          <w:szCs w:val="21"/>
        </w:rPr>
        <w:t>. The site also has</w:t>
      </w:r>
      <w:r w:rsidR="009E05BA">
        <w:rPr>
          <w:rFonts w:cs="Arial"/>
          <w:sz w:val="21"/>
          <w:szCs w:val="21"/>
        </w:rPr>
        <w:t xml:space="preserve"> historic</w:t>
      </w:r>
      <w:r w:rsidRPr="00CF6F1F">
        <w:rPr>
          <w:rFonts w:cs="Arial"/>
          <w:sz w:val="21"/>
          <w:szCs w:val="21"/>
        </w:rPr>
        <w:t xml:space="preserve"> associations with orchard farming in the area which was undertaken </w:t>
      </w:r>
      <w:r w:rsidR="009E05BA">
        <w:rPr>
          <w:rFonts w:cs="Arial"/>
          <w:sz w:val="21"/>
          <w:szCs w:val="21"/>
        </w:rPr>
        <w:t>during</w:t>
      </w:r>
      <w:r w:rsidR="005E6635" w:rsidRPr="00CF6F1F">
        <w:rPr>
          <w:rFonts w:cs="Arial"/>
          <w:sz w:val="21"/>
          <w:szCs w:val="21"/>
        </w:rPr>
        <w:t xml:space="preserve"> </w:t>
      </w:r>
      <w:r w:rsidRPr="00CF6F1F">
        <w:rPr>
          <w:rFonts w:cs="Arial"/>
          <w:sz w:val="21"/>
          <w:szCs w:val="21"/>
        </w:rPr>
        <w:t>the Coventry family</w:t>
      </w:r>
      <w:r w:rsidR="00016144">
        <w:rPr>
          <w:rFonts w:cs="Arial"/>
          <w:sz w:val="21"/>
          <w:szCs w:val="21"/>
        </w:rPr>
        <w:t>’s occupation of the site</w:t>
      </w:r>
      <w:r w:rsidR="005E6635">
        <w:rPr>
          <w:rFonts w:cs="Arial"/>
          <w:sz w:val="21"/>
          <w:szCs w:val="21"/>
        </w:rPr>
        <w:t>.</w:t>
      </w:r>
      <w:r w:rsidRPr="00CF6F1F">
        <w:rPr>
          <w:rFonts w:cs="Arial"/>
          <w:sz w:val="21"/>
          <w:szCs w:val="21"/>
        </w:rPr>
        <w:t xml:space="preserve"> (Criteri</w:t>
      </w:r>
      <w:r w:rsidR="00867C68">
        <w:rPr>
          <w:rFonts w:cs="Arial"/>
          <w:sz w:val="21"/>
          <w:szCs w:val="21"/>
        </w:rPr>
        <w:t>on</w:t>
      </w:r>
      <w:r w:rsidRPr="00CF6F1F">
        <w:rPr>
          <w:rFonts w:cs="Arial"/>
          <w:sz w:val="21"/>
          <w:szCs w:val="21"/>
        </w:rPr>
        <w:t xml:space="preserve"> A</w:t>
      </w:r>
      <w:r w:rsidR="00867C68">
        <w:rPr>
          <w:rFonts w:cs="Arial"/>
          <w:sz w:val="21"/>
          <w:szCs w:val="21"/>
        </w:rPr>
        <w:t>)</w:t>
      </w:r>
    </w:p>
    <w:p w14:paraId="2CCFE360" w14:textId="77777777" w:rsidR="00CF6F1F" w:rsidRPr="00CF6F1F" w:rsidRDefault="00CF6F1F" w:rsidP="00CF6F1F">
      <w:pPr>
        <w:rPr>
          <w:rFonts w:cs="Arial"/>
          <w:sz w:val="21"/>
          <w:szCs w:val="21"/>
        </w:rPr>
      </w:pPr>
    </w:p>
    <w:p w14:paraId="01911D7D" w14:textId="02EF0D85" w:rsidR="00E903E7" w:rsidRPr="00533CF2" w:rsidRDefault="00CF6F1F" w:rsidP="00CF6F1F">
      <w:pPr>
        <w:rPr>
          <w:rFonts w:cs="Arial"/>
          <w:sz w:val="21"/>
          <w:szCs w:val="21"/>
        </w:rPr>
      </w:pPr>
      <w:r w:rsidRPr="00CF6F1F">
        <w:rPr>
          <w:rFonts w:cs="Arial"/>
          <w:sz w:val="21"/>
          <w:szCs w:val="21"/>
        </w:rPr>
        <w:t xml:space="preserve">The farm complex at 405 Ryans Road, Diamond Creek is aesthetically significant as an uncommon example of a substantial </w:t>
      </w:r>
      <w:r w:rsidR="00016144">
        <w:rPr>
          <w:rFonts w:cs="Arial"/>
          <w:sz w:val="21"/>
          <w:szCs w:val="21"/>
        </w:rPr>
        <w:t>Interwar</w:t>
      </w:r>
      <w:r w:rsidRPr="00CF6F1F">
        <w:rPr>
          <w:rFonts w:cs="Arial"/>
          <w:sz w:val="21"/>
          <w:szCs w:val="21"/>
        </w:rPr>
        <w:t xml:space="preserve"> brick farmhouse. The two</w:t>
      </w:r>
      <w:r w:rsidR="005E6635">
        <w:rPr>
          <w:rFonts w:cs="Arial"/>
          <w:sz w:val="21"/>
          <w:szCs w:val="21"/>
        </w:rPr>
        <w:t>-</w:t>
      </w:r>
      <w:r w:rsidRPr="00CF6F1F">
        <w:rPr>
          <w:rFonts w:cs="Arial"/>
          <w:sz w:val="21"/>
          <w:szCs w:val="21"/>
        </w:rPr>
        <w:t xml:space="preserve">storey nature of the building is also </w:t>
      </w:r>
      <w:r w:rsidR="00A340F8">
        <w:rPr>
          <w:rFonts w:cs="Arial"/>
          <w:sz w:val="21"/>
          <w:szCs w:val="21"/>
        </w:rPr>
        <w:t>distinctive</w:t>
      </w:r>
      <w:r w:rsidR="00016144">
        <w:rPr>
          <w:rFonts w:cs="Arial"/>
          <w:sz w:val="21"/>
          <w:szCs w:val="21"/>
        </w:rPr>
        <w:t xml:space="preserve"> in the </w:t>
      </w:r>
      <w:r w:rsidR="003E7EB0">
        <w:rPr>
          <w:rFonts w:cs="Arial"/>
          <w:sz w:val="21"/>
          <w:szCs w:val="21"/>
        </w:rPr>
        <w:t>S</w:t>
      </w:r>
      <w:r w:rsidR="00016144">
        <w:rPr>
          <w:rFonts w:cs="Arial"/>
          <w:sz w:val="21"/>
          <w:szCs w:val="21"/>
        </w:rPr>
        <w:t>hire, where most substantial houses were single-storey</w:t>
      </w:r>
      <w:r w:rsidRPr="00CF6F1F">
        <w:rPr>
          <w:rFonts w:cs="Arial"/>
          <w:sz w:val="21"/>
          <w:szCs w:val="21"/>
        </w:rPr>
        <w:t xml:space="preserve">. The outbuildings on the site demonstrate the operation of </w:t>
      </w:r>
      <w:r w:rsidR="005E6635">
        <w:rPr>
          <w:rFonts w:cs="Arial"/>
          <w:sz w:val="21"/>
          <w:szCs w:val="21"/>
        </w:rPr>
        <w:t>t</w:t>
      </w:r>
      <w:r w:rsidRPr="00CF6F1F">
        <w:rPr>
          <w:rFonts w:cs="Arial"/>
          <w:sz w:val="21"/>
          <w:szCs w:val="21"/>
        </w:rPr>
        <w:t>he farm during the 1930s and 1940s. The Monterey cypress drive contributes to the setting of the place and emphasises its grandeur. (Criteri</w:t>
      </w:r>
      <w:r w:rsidR="00A340F8">
        <w:rPr>
          <w:rFonts w:cs="Arial"/>
          <w:sz w:val="21"/>
          <w:szCs w:val="21"/>
        </w:rPr>
        <w:t>on</w:t>
      </w:r>
      <w:r w:rsidR="003817FE">
        <w:rPr>
          <w:rFonts w:cs="Arial"/>
          <w:sz w:val="21"/>
          <w:szCs w:val="21"/>
        </w:rPr>
        <w:t xml:space="preserve"> E</w:t>
      </w:r>
      <w:r w:rsidRPr="00CF6F1F">
        <w:rPr>
          <w:rFonts w:cs="Arial"/>
          <w:sz w:val="21"/>
          <w:szCs w:val="21"/>
        </w:rPr>
        <w:t>)</w:t>
      </w:r>
    </w:p>
    <w:p w14:paraId="1F689E37" w14:textId="77777777" w:rsidR="006E17E9" w:rsidRPr="00533CF2" w:rsidRDefault="006E17E9" w:rsidP="0053253F">
      <w:pPr>
        <w:rPr>
          <w:rFonts w:cs="Arial"/>
          <w:sz w:val="21"/>
          <w:szCs w:val="21"/>
        </w:rPr>
      </w:pPr>
    </w:p>
    <w:p w14:paraId="51E1F9F1" w14:textId="77777777" w:rsidR="00CF6F1F" w:rsidRDefault="00CF6F1F">
      <w:pPr>
        <w:overflowPunct/>
        <w:autoSpaceDE/>
        <w:autoSpaceDN/>
        <w:adjustRightInd/>
        <w:jc w:val="left"/>
        <w:textAlignment w:val="auto"/>
        <w:rPr>
          <w:rFonts w:cs="Arial"/>
          <w:b/>
          <w:sz w:val="21"/>
          <w:szCs w:val="21"/>
        </w:rPr>
      </w:pPr>
      <w:r>
        <w:rPr>
          <w:rFonts w:cs="Arial"/>
          <w:b/>
          <w:sz w:val="21"/>
          <w:szCs w:val="21"/>
        </w:rPr>
        <w:br w:type="page"/>
      </w:r>
    </w:p>
    <w:p w14:paraId="3C813A76" w14:textId="5631DC6C"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23F1EE9E" w14:textId="53B8125D" w:rsidR="00CF6F1F" w:rsidRDefault="00CF6F1F" w:rsidP="3FC870CB">
      <w:pPr>
        <w:rPr>
          <w:rFonts w:cs="Arial"/>
          <w:sz w:val="21"/>
          <w:szCs w:val="21"/>
        </w:rPr>
      </w:pPr>
      <w:r>
        <w:rPr>
          <w:rFonts w:cs="Arial"/>
          <w:sz w:val="21"/>
          <w:szCs w:val="21"/>
        </w:rPr>
        <w:t xml:space="preserve">Recommended for inclusion in the schedule to the Heritage Overlay of the Nillumbik Planning Scheme. </w:t>
      </w:r>
    </w:p>
    <w:p w14:paraId="09F9F76B" w14:textId="7F9F4F19" w:rsidR="004E6328" w:rsidRPr="00533CF2" w:rsidRDefault="006E17E9" w:rsidP="3FC870CB">
      <w:pPr>
        <w:rPr>
          <w:rFonts w:eastAsia="Arial" w:cs="Arial"/>
          <w:sz w:val="21"/>
          <w:szCs w:val="21"/>
        </w:rPr>
      </w:pPr>
      <w:r>
        <w:br/>
      </w:r>
      <w:r w:rsidR="075196F8" w:rsidRPr="3FC870CB">
        <w:rPr>
          <w:rFonts w:eastAsia="Arial" w:cs="Arial"/>
          <w:color w:val="000000" w:themeColor="text1"/>
          <w:sz w:val="21"/>
          <w:szCs w:val="21"/>
        </w:rPr>
        <w:t>Recommendations for the Schedule to the Heritage Overlay (Clause 43.01) in the Nil</w:t>
      </w:r>
      <w:r w:rsidR="00CF6F1F">
        <w:rPr>
          <w:rFonts w:eastAsia="Arial" w:cs="Arial"/>
          <w:color w:val="000000" w:themeColor="text1"/>
          <w:sz w:val="21"/>
          <w:szCs w:val="21"/>
        </w:rPr>
        <w:t>l</w:t>
      </w:r>
      <w:r w:rsidR="075196F8" w:rsidRPr="3FC870CB">
        <w:rPr>
          <w:rFonts w:eastAsia="Arial" w:cs="Arial"/>
          <w:color w:val="000000" w:themeColor="text1"/>
          <w:sz w:val="21"/>
          <w:szCs w:val="21"/>
        </w:rPr>
        <w:t>umbik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0199C2F5"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Colours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30173A27" w:rsidR="0D33FB3A" w:rsidRDefault="00CF6F1F"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6366C883" w:rsidR="3FC870CB" w:rsidRDefault="00CF6F1F"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00B1A9E5" w:rsidR="3FC870CB" w:rsidRDefault="00CF6F1F" w:rsidP="3FC870CB">
            <w:pPr>
              <w:jc w:val="left"/>
              <w:rPr>
                <w:rFonts w:eastAsia="Arial" w:cs="Arial"/>
                <w:color w:val="000000" w:themeColor="text1"/>
                <w:sz w:val="21"/>
                <w:szCs w:val="21"/>
              </w:rPr>
            </w:pPr>
            <w:r>
              <w:rPr>
                <w:rFonts w:eastAsia="Arial" w:cs="Arial"/>
                <w:color w:val="000000" w:themeColor="text1"/>
                <w:sz w:val="21"/>
                <w:szCs w:val="21"/>
              </w:rPr>
              <w:t>Yes – Monterey Cypresses</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3FF08F7F" w:rsidR="3FC870CB" w:rsidRDefault="00CF6F1F"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52846035" w:rsidR="3FC870CB" w:rsidRDefault="00CF6F1F"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6B3441F9" w:rsidR="3FC870CB" w:rsidRDefault="00CF6F1F" w:rsidP="3FC870CB">
            <w:pPr>
              <w:jc w:val="left"/>
              <w:rPr>
                <w:rFonts w:eastAsia="Arial" w:cs="Arial"/>
                <w:color w:val="000000" w:themeColor="text1"/>
                <w:sz w:val="21"/>
                <w:szCs w:val="21"/>
              </w:rPr>
            </w:pPr>
            <w:r w:rsidRPr="005E6635">
              <w:rPr>
                <w:rFonts w:eastAsia="Arial" w:cs="Arial"/>
                <w:color w:val="000000" w:themeColor="text1"/>
                <w:sz w:val="21"/>
                <w:szCs w:val="21"/>
              </w:rPr>
              <w:t>Yes</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42E803C7" w:rsidR="3FC870CB" w:rsidRDefault="001003CC" w:rsidP="3FC870CB">
            <w:pPr>
              <w:jc w:val="left"/>
              <w:rPr>
                <w:rFonts w:eastAsia="Arial" w:cs="Arial"/>
                <w:color w:val="000000" w:themeColor="text1"/>
                <w:sz w:val="21"/>
                <w:szCs w:val="21"/>
              </w:rPr>
            </w:pPr>
            <w:r>
              <w:rPr>
                <w:rFonts w:eastAsia="Arial" w:cs="Arial"/>
                <w:color w:val="000000" w:themeColor="text1"/>
                <w:sz w:val="21"/>
                <w:szCs w:val="21"/>
              </w:rPr>
              <w:t>Yes</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31CB05E3" w:rsidR="3FC870CB" w:rsidRDefault="00CF6F1F"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18DBB61F" w14:textId="2663780B" w:rsidR="00935F75" w:rsidRPr="00533CF2" w:rsidRDefault="00541C44" w:rsidP="0053253F">
      <w:pPr>
        <w:rPr>
          <w:rFonts w:cs="Arial"/>
          <w:sz w:val="21"/>
          <w:szCs w:val="21"/>
        </w:rPr>
      </w:pPr>
      <w:r>
        <w:rPr>
          <w:rFonts w:cs="Arial"/>
          <w:sz w:val="21"/>
          <w:szCs w:val="21"/>
        </w:rPr>
        <w:t>Samantha Westbrook and Peter Mills</w:t>
      </w: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Pr="00533CF2" w:rsidRDefault="00F0333B" w:rsidP="0053253F">
      <w:pPr>
        <w:rPr>
          <w:rFonts w:cs="Arial"/>
          <w:b/>
          <w:sz w:val="21"/>
          <w:szCs w:val="21"/>
        </w:rPr>
      </w:pPr>
      <w:r w:rsidRPr="00533CF2">
        <w:rPr>
          <w:rFonts w:cs="Arial"/>
          <w:b/>
          <w:sz w:val="21"/>
          <w:szCs w:val="21"/>
        </w:rPr>
        <w:lastRenderedPageBreak/>
        <w:t>References</w:t>
      </w:r>
    </w:p>
    <w:p w14:paraId="3E9BCFCB" w14:textId="77777777" w:rsidR="002B0C04" w:rsidRDefault="002B0C04" w:rsidP="004263CB">
      <w:pPr>
        <w:rPr>
          <w:rFonts w:cs="Arial"/>
          <w:sz w:val="21"/>
          <w:szCs w:val="21"/>
        </w:rPr>
      </w:pPr>
    </w:p>
    <w:p w14:paraId="01ACF449" w14:textId="2245CA48" w:rsidR="00B12673" w:rsidRPr="00824BFA" w:rsidRDefault="00B12673" w:rsidP="50767ADB">
      <w:pPr>
        <w:rPr>
          <w:sz w:val="21"/>
          <w:szCs w:val="21"/>
        </w:rPr>
      </w:pPr>
      <w:r>
        <w:rPr>
          <w:i/>
          <w:iCs/>
          <w:sz w:val="21"/>
          <w:szCs w:val="21"/>
        </w:rPr>
        <w:t xml:space="preserve">Advertiser </w:t>
      </w:r>
      <w:r>
        <w:rPr>
          <w:sz w:val="21"/>
          <w:szCs w:val="21"/>
        </w:rPr>
        <w:t>(Hurstbridge), as cited.</w:t>
      </w:r>
    </w:p>
    <w:p w14:paraId="7070C1CB" w14:textId="77777777" w:rsidR="00B12673" w:rsidRDefault="00B12673" w:rsidP="50767ADB">
      <w:pPr>
        <w:rPr>
          <w:i/>
          <w:iCs/>
          <w:sz w:val="21"/>
          <w:szCs w:val="21"/>
        </w:rPr>
      </w:pPr>
    </w:p>
    <w:p w14:paraId="5B0B4881" w14:textId="6F677E9A" w:rsidR="00BD2B19" w:rsidRPr="004536B9" w:rsidRDefault="004536B9" w:rsidP="50767ADB">
      <w:pPr>
        <w:rPr>
          <w:sz w:val="21"/>
          <w:szCs w:val="21"/>
        </w:rPr>
      </w:pPr>
      <w:r w:rsidRPr="004536B9">
        <w:rPr>
          <w:i/>
          <w:iCs/>
          <w:sz w:val="21"/>
          <w:szCs w:val="21"/>
        </w:rPr>
        <w:t>Age,</w:t>
      </w:r>
      <w:r w:rsidRPr="004536B9">
        <w:rPr>
          <w:sz w:val="21"/>
          <w:szCs w:val="21"/>
        </w:rPr>
        <w:t xml:space="preserve"> as cited.</w:t>
      </w:r>
    </w:p>
    <w:p w14:paraId="38B8B3BD" w14:textId="77777777" w:rsidR="004536B9" w:rsidRPr="004536B9" w:rsidRDefault="004536B9" w:rsidP="50767ADB">
      <w:pPr>
        <w:rPr>
          <w:sz w:val="21"/>
          <w:szCs w:val="21"/>
        </w:rPr>
      </w:pPr>
    </w:p>
    <w:p w14:paraId="0544A425" w14:textId="30DD03D2" w:rsidR="004536B9" w:rsidRDefault="004536B9" w:rsidP="50767ADB">
      <w:pPr>
        <w:rPr>
          <w:sz w:val="21"/>
          <w:szCs w:val="21"/>
        </w:rPr>
      </w:pPr>
      <w:r w:rsidRPr="004536B9">
        <w:rPr>
          <w:i/>
          <w:iCs/>
          <w:sz w:val="21"/>
          <w:szCs w:val="21"/>
        </w:rPr>
        <w:t xml:space="preserve">Argus, </w:t>
      </w:r>
      <w:r w:rsidRPr="004536B9">
        <w:rPr>
          <w:sz w:val="21"/>
          <w:szCs w:val="21"/>
        </w:rPr>
        <w:t>as cited.</w:t>
      </w:r>
    </w:p>
    <w:p w14:paraId="726A72EF" w14:textId="77777777" w:rsidR="00992D83" w:rsidRDefault="00992D83" w:rsidP="50767ADB">
      <w:pPr>
        <w:rPr>
          <w:sz w:val="21"/>
          <w:szCs w:val="21"/>
        </w:rPr>
      </w:pPr>
    </w:p>
    <w:p w14:paraId="550BCB75" w14:textId="6ACAD064" w:rsidR="00992D83" w:rsidRPr="00510CC7" w:rsidRDefault="00992D83" w:rsidP="50767ADB">
      <w:pPr>
        <w:rPr>
          <w:sz w:val="21"/>
          <w:szCs w:val="21"/>
        </w:rPr>
      </w:pPr>
      <w:r w:rsidRPr="00510CC7">
        <w:rPr>
          <w:sz w:val="21"/>
          <w:szCs w:val="21"/>
        </w:rPr>
        <w:t xml:space="preserve">Battle to Farm 2022, </w:t>
      </w:r>
      <w:r w:rsidR="00C46FDD" w:rsidRPr="00510CC7">
        <w:rPr>
          <w:i/>
          <w:iCs/>
          <w:sz w:val="21"/>
          <w:szCs w:val="21"/>
        </w:rPr>
        <w:t>Harold Carmichael Prescott Davis</w:t>
      </w:r>
      <w:r w:rsidR="00C46FDD" w:rsidRPr="00510CC7">
        <w:rPr>
          <w:sz w:val="21"/>
          <w:szCs w:val="21"/>
        </w:rPr>
        <w:t xml:space="preserve">, Public Records Office of Victoria, </w:t>
      </w:r>
      <w:r w:rsidR="00F71988" w:rsidRPr="00510CC7">
        <w:rPr>
          <w:sz w:val="21"/>
          <w:szCs w:val="21"/>
        </w:rPr>
        <w:t xml:space="preserve">http://soldiersettlement.prov.vic.gov.au/, accessed online 21 February 2022. </w:t>
      </w:r>
    </w:p>
    <w:p w14:paraId="1ED32A98" w14:textId="77777777" w:rsidR="003A1952" w:rsidRDefault="003A1952" w:rsidP="003A1952">
      <w:pPr>
        <w:rPr>
          <w:sz w:val="21"/>
          <w:szCs w:val="21"/>
          <w:lang w:val="en-US"/>
        </w:rPr>
      </w:pPr>
    </w:p>
    <w:p w14:paraId="4AE55BBE" w14:textId="25468E70" w:rsidR="003A1952" w:rsidRPr="003A1952" w:rsidRDefault="003A1952" w:rsidP="003A1952">
      <w:pPr>
        <w:rPr>
          <w:sz w:val="21"/>
          <w:szCs w:val="21"/>
          <w:lang w:val="en-US"/>
        </w:rPr>
      </w:pPr>
      <w:r w:rsidRPr="003A1952">
        <w:rPr>
          <w:sz w:val="21"/>
          <w:szCs w:val="21"/>
          <w:lang w:val="en-US"/>
        </w:rPr>
        <w:t>Bernard, J 2008, Diamond Creek, https://www.emelbourne.net.au/biogs/EM00464b.htm, accessed online 03 February 2022.</w:t>
      </w:r>
    </w:p>
    <w:p w14:paraId="34F3D40C" w14:textId="159E54DE" w:rsidR="002F4AFB" w:rsidRDefault="002F4AFB" w:rsidP="00FB4871">
      <w:pPr>
        <w:rPr>
          <w:sz w:val="21"/>
          <w:szCs w:val="21"/>
        </w:rPr>
      </w:pPr>
    </w:p>
    <w:p w14:paraId="487B410D" w14:textId="75DBB00F" w:rsidR="00931720" w:rsidRDefault="003764E8" w:rsidP="00FB4871">
      <w:pPr>
        <w:rPr>
          <w:rFonts w:cs="Arial"/>
          <w:sz w:val="21"/>
          <w:szCs w:val="21"/>
        </w:rPr>
      </w:pPr>
      <w:r w:rsidRPr="003764E8">
        <w:rPr>
          <w:rFonts w:cs="Arial"/>
          <w:sz w:val="21"/>
          <w:szCs w:val="21"/>
        </w:rPr>
        <w:t>Births Death Marriages (BDM) Victoria events, as cited.</w:t>
      </w:r>
    </w:p>
    <w:p w14:paraId="70B4180F" w14:textId="77777777" w:rsidR="004006C2" w:rsidRDefault="004006C2" w:rsidP="00FB4871">
      <w:pPr>
        <w:rPr>
          <w:rFonts w:cs="Arial"/>
          <w:sz w:val="21"/>
          <w:szCs w:val="21"/>
        </w:rPr>
      </w:pPr>
    </w:p>
    <w:p w14:paraId="0E9E6E0A" w14:textId="6E232E51" w:rsidR="004006C2" w:rsidRDefault="004006C2" w:rsidP="00FB4871">
      <w:pPr>
        <w:rPr>
          <w:rFonts w:cs="Arial"/>
          <w:sz w:val="21"/>
          <w:szCs w:val="21"/>
        </w:rPr>
      </w:pPr>
      <w:r w:rsidRPr="004006C2">
        <w:rPr>
          <w:rFonts w:cs="Arial"/>
          <w:sz w:val="21"/>
          <w:szCs w:val="21"/>
        </w:rPr>
        <w:t>Butler, Graeme &amp; Associates. (1996). Nillumbik Shire Heritage Study Stage 1, Review, Heritage Survey and Environmental History. Greensborough: Shire of Nillumbik.</w:t>
      </w:r>
    </w:p>
    <w:p w14:paraId="7F12F8B3" w14:textId="77777777" w:rsidR="00931720" w:rsidRDefault="00931720" w:rsidP="00FB4871">
      <w:pPr>
        <w:rPr>
          <w:rFonts w:cs="Arial"/>
          <w:sz w:val="21"/>
          <w:szCs w:val="21"/>
        </w:rPr>
      </w:pPr>
    </w:p>
    <w:p w14:paraId="4AE5B9DE" w14:textId="6E71777E" w:rsidR="005C5B71" w:rsidRPr="005C5B71" w:rsidRDefault="005C5B71" w:rsidP="00FB4871">
      <w:pPr>
        <w:rPr>
          <w:rFonts w:cs="Arial"/>
          <w:sz w:val="21"/>
          <w:szCs w:val="21"/>
          <w:lang w:val="en-US"/>
        </w:rPr>
      </w:pPr>
      <w:r w:rsidRPr="005C5B71">
        <w:rPr>
          <w:rFonts w:cs="Arial"/>
          <w:sz w:val="21"/>
          <w:szCs w:val="21"/>
          <w:lang w:val="en-US"/>
        </w:rPr>
        <w:t>Edwards, D 1979, The Diamond Valley Story, The Shire of Diamond Valley, Victoria.</w:t>
      </w:r>
    </w:p>
    <w:p w14:paraId="43EB6133" w14:textId="77777777" w:rsidR="005C5B71" w:rsidRDefault="005C5B71" w:rsidP="00FB4871">
      <w:pPr>
        <w:rPr>
          <w:rFonts w:cs="Arial"/>
          <w:sz w:val="21"/>
          <w:szCs w:val="21"/>
        </w:rPr>
      </w:pPr>
    </w:p>
    <w:p w14:paraId="56F8DE81" w14:textId="35E26FBF" w:rsidR="00931720" w:rsidRDefault="00931720" w:rsidP="00FB4871">
      <w:pPr>
        <w:rPr>
          <w:rFonts w:cs="Arial"/>
          <w:sz w:val="21"/>
          <w:szCs w:val="21"/>
        </w:rPr>
      </w:pPr>
      <w:r w:rsidRPr="00931720">
        <w:rPr>
          <w:rFonts w:cs="Arial"/>
          <w:sz w:val="21"/>
          <w:szCs w:val="21"/>
        </w:rPr>
        <w:t>Great Britain. War Office. General Staff. Commonwealth Section &amp; Australia. Department of Defence 1920, 'Yan Yean, Victoria / prepared by Commonwealth Section, Imperial General Staff' Yan Yean, Victoria [cartographic material]</w:t>
      </w:r>
      <w:r w:rsidR="00D5339A">
        <w:rPr>
          <w:rFonts w:cs="Arial"/>
          <w:sz w:val="21"/>
          <w:szCs w:val="21"/>
        </w:rPr>
        <w:t>.</w:t>
      </w:r>
    </w:p>
    <w:p w14:paraId="4388C2D7" w14:textId="77777777" w:rsidR="00D60670" w:rsidRDefault="00D60670" w:rsidP="00FB4871">
      <w:pPr>
        <w:rPr>
          <w:rFonts w:cs="Arial"/>
          <w:sz w:val="21"/>
          <w:szCs w:val="21"/>
        </w:rPr>
      </w:pPr>
    </w:p>
    <w:p w14:paraId="522D9270" w14:textId="4BF70581" w:rsidR="003764E8" w:rsidRPr="00D60670" w:rsidRDefault="00D60670" w:rsidP="00FB4871">
      <w:pPr>
        <w:rPr>
          <w:rFonts w:cs="Arial"/>
          <w:sz w:val="21"/>
          <w:szCs w:val="21"/>
        </w:rPr>
      </w:pPr>
      <w:r>
        <w:rPr>
          <w:rFonts w:cs="Arial"/>
          <w:sz w:val="21"/>
          <w:szCs w:val="21"/>
        </w:rPr>
        <w:t>G</w:t>
      </w:r>
      <w:r w:rsidRPr="00D60670">
        <w:rPr>
          <w:rFonts w:cs="Arial"/>
          <w:sz w:val="21"/>
          <w:szCs w:val="21"/>
        </w:rPr>
        <w:t xml:space="preserve">reat Britain. War Office. General Staff. Australian Section, cartographer. &amp; Australia. Army. Survey Corps.  </w:t>
      </w:r>
      <w:r w:rsidR="003E7EB0" w:rsidRPr="00D60670">
        <w:rPr>
          <w:rFonts w:cs="Arial"/>
          <w:sz w:val="21"/>
          <w:szCs w:val="21"/>
        </w:rPr>
        <w:t>1935, Yan</w:t>
      </w:r>
      <w:r w:rsidRPr="00D60670">
        <w:rPr>
          <w:rFonts w:cs="Arial"/>
          <w:sz w:val="21"/>
          <w:szCs w:val="21"/>
        </w:rPr>
        <w:t xml:space="preserve"> Yean, Victoria / prepared by Australian Section, Imperial General Staff</w:t>
      </w:r>
      <w:r>
        <w:rPr>
          <w:rFonts w:cs="Arial"/>
          <w:sz w:val="21"/>
          <w:szCs w:val="21"/>
        </w:rPr>
        <w:t>.</w:t>
      </w:r>
    </w:p>
    <w:p w14:paraId="4EC1E699" w14:textId="77777777" w:rsidR="00293B45" w:rsidRDefault="00293B45" w:rsidP="00FB4871">
      <w:pPr>
        <w:rPr>
          <w:rFonts w:cs="Arial"/>
          <w:sz w:val="21"/>
          <w:szCs w:val="21"/>
        </w:rPr>
      </w:pPr>
    </w:p>
    <w:p w14:paraId="4F7AA428" w14:textId="12824C46" w:rsidR="00293B45" w:rsidRDefault="00293B45" w:rsidP="00FB4871">
      <w:pPr>
        <w:rPr>
          <w:rFonts w:cs="Arial"/>
          <w:sz w:val="21"/>
          <w:szCs w:val="21"/>
        </w:rPr>
      </w:pPr>
      <w:r>
        <w:rPr>
          <w:rFonts w:cs="Arial"/>
          <w:sz w:val="21"/>
          <w:szCs w:val="21"/>
        </w:rPr>
        <w:t>Land Victoria, Certificates of Title (CT), as cited.</w:t>
      </w:r>
    </w:p>
    <w:p w14:paraId="3C9C63AD" w14:textId="77777777" w:rsidR="00290569" w:rsidRDefault="00290569" w:rsidP="00FB4871">
      <w:pPr>
        <w:rPr>
          <w:rFonts w:cs="Arial"/>
          <w:sz w:val="21"/>
          <w:szCs w:val="21"/>
        </w:rPr>
      </w:pPr>
    </w:p>
    <w:p w14:paraId="22F4D570" w14:textId="023ADEAD" w:rsidR="00290569" w:rsidRDefault="00290569" w:rsidP="00FB4871">
      <w:pPr>
        <w:rPr>
          <w:rFonts w:cs="Arial"/>
          <w:sz w:val="21"/>
          <w:szCs w:val="21"/>
        </w:rPr>
      </w:pPr>
      <w:r w:rsidRPr="00290569">
        <w:rPr>
          <w:rFonts w:cs="Arial"/>
          <w:sz w:val="21"/>
          <w:szCs w:val="21"/>
        </w:rPr>
        <w:t xml:space="preserve">Shire of Heidelberg </w:t>
      </w:r>
      <w:r w:rsidR="00BD2B19">
        <w:rPr>
          <w:rFonts w:cs="Arial"/>
          <w:sz w:val="21"/>
          <w:szCs w:val="21"/>
        </w:rPr>
        <w:t>Rate Books (RB), as cited.</w:t>
      </w:r>
      <w:r w:rsidRPr="00290569">
        <w:rPr>
          <w:rFonts w:cs="Arial"/>
          <w:sz w:val="21"/>
          <w:szCs w:val="21"/>
        </w:rPr>
        <w:t xml:space="preserve"> </w:t>
      </w:r>
    </w:p>
    <w:p w14:paraId="6FCE2ABA" w14:textId="77777777" w:rsidR="00DD7076" w:rsidRDefault="00DD7076" w:rsidP="00FB4871">
      <w:pPr>
        <w:rPr>
          <w:rFonts w:cs="Arial"/>
          <w:sz w:val="21"/>
          <w:szCs w:val="21"/>
        </w:rPr>
      </w:pPr>
    </w:p>
    <w:p w14:paraId="5DCABD01" w14:textId="3FEC11F7" w:rsidR="00DD7076" w:rsidRPr="00FB4871" w:rsidRDefault="00DD7076" w:rsidP="00FB4871">
      <w:pPr>
        <w:rPr>
          <w:sz w:val="21"/>
          <w:szCs w:val="21"/>
        </w:rPr>
      </w:pPr>
      <w:r w:rsidRPr="00DD7076">
        <w:rPr>
          <w:sz w:val="21"/>
          <w:szCs w:val="21"/>
        </w:rPr>
        <w:t>Graeme Butler &amp; Associates 1996</w:t>
      </w:r>
      <w:r w:rsidR="002A25EB">
        <w:rPr>
          <w:sz w:val="21"/>
          <w:szCs w:val="21"/>
        </w:rPr>
        <w:t>,</w:t>
      </w:r>
      <w:r w:rsidRPr="00DD7076">
        <w:rPr>
          <w:sz w:val="21"/>
          <w:szCs w:val="21"/>
        </w:rPr>
        <w:t xml:space="preserve"> </w:t>
      </w:r>
      <w:r w:rsidR="002A25EB">
        <w:rPr>
          <w:sz w:val="21"/>
          <w:szCs w:val="21"/>
        </w:rPr>
        <w:t>‘</w:t>
      </w:r>
      <w:r w:rsidRPr="00DD7076">
        <w:rPr>
          <w:sz w:val="21"/>
          <w:szCs w:val="21"/>
        </w:rPr>
        <w:t>Nillumbik Shire Heritage Study Stage 1 Review, Heritage Survey and Environmental History</w:t>
      </w:r>
      <w:r w:rsidR="00FF3E78">
        <w:rPr>
          <w:sz w:val="21"/>
          <w:szCs w:val="21"/>
        </w:rPr>
        <w:t>,’ prepared for the</w:t>
      </w:r>
      <w:r w:rsidRPr="00DD7076">
        <w:rPr>
          <w:sz w:val="21"/>
          <w:szCs w:val="21"/>
        </w:rPr>
        <w:t xml:space="preserve"> Shire of Nillumbik.</w:t>
      </w:r>
    </w:p>
    <w:sectPr w:rsidR="00DD7076" w:rsidRPr="00FB4871" w:rsidSect="00FC7300">
      <w:headerReference w:type="default" r:id="rId15"/>
      <w:footerReference w:type="default" r:id="rId16"/>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A9EE5" w14:textId="77777777" w:rsidR="00785174" w:rsidRDefault="00785174">
      <w:r>
        <w:separator/>
      </w:r>
    </w:p>
  </w:endnote>
  <w:endnote w:type="continuationSeparator" w:id="0">
    <w:p w14:paraId="2386C002" w14:textId="77777777" w:rsidR="00785174" w:rsidRDefault="00785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4C8C1A0D" w:rsidR="009235F4" w:rsidRDefault="009235F4">
    <w:pPr>
      <w:pStyle w:val="Footer"/>
      <w:jc w:val="center"/>
    </w:pPr>
    <w:r>
      <w:fldChar w:fldCharType="begin"/>
    </w:r>
    <w:r>
      <w:instrText xml:space="preserve"> PAGE   \* MERGEFORMAT </w:instrText>
    </w:r>
    <w:r>
      <w:fldChar w:fldCharType="separate"/>
    </w:r>
    <w:r w:rsidR="00621EC6">
      <w:rPr>
        <w:noProof/>
      </w:rPr>
      <w:t>2</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30AFB" w14:textId="77777777" w:rsidR="00785174" w:rsidRDefault="00785174">
      <w:r>
        <w:separator/>
      </w:r>
    </w:p>
  </w:footnote>
  <w:footnote w:type="continuationSeparator" w:id="0">
    <w:p w14:paraId="0F586625" w14:textId="77777777" w:rsidR="00785174" w:rsidRDefault="00785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77777777" w:rsidR="009235F4" w:rsidRPr="00A51763" w:rsidRDefault="009235F4" w:rsidP="0053253F">
    <w:pPr>
      <w:pStyle w:val="Header"/>
      <w:jc w:val="center"/>
    </w:pPr>
    <w:r w:rsidRPr="0053253F">
      <w:rPr>
        <w:noProof/>
        <w:lang w:eastAsia="en-AU"/>
      </w:rPr>
      <w:drawing>
        <wp:inline distT="0" distB="0" distL="0" distR="0" wp14:anchorId="796D71EE" wp14:editId="7DDF8A8E">
          <wp:extent cx="999490" cy="614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14320"/>
                  </a:xfrm>
                  <a:prstGeom prst="rect">
                    <a:avLst/>
                  </a:prstGeom>
                  <a:noFill/>
                  <a:ln>
                    <a:noFill/>
                  </a:ln>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512DB"/>
    <w:multiLevelType w:val="hybridMultilevel"/>
    <w:tmpl w:val="FA5C37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77B0"/>
    <w:rsid w:val="000122AD"/>
    <w:rsid w:val="00014192"/>
    <w:rsid w:val="000154DD"/>
    <w:rsid w:val="00016144"/>
    <w:rsid w:val="000226FB"/>
    <w:rsid w:val="00022F3C"/>
    <w:rsid w:val="00025BEB"/>
    <w:rsid w:val="000262DF"/>
    <w:rsid w:val="000330BC"/>
    <w:rsid w:val="0003330A"/>
    <w:rsid w:val="00033575"/>
    <w:rsid w:val="00033CB0"/>
    <w:rsid w:val="00035200"/>
    <w:rsid w:val="000414F2"/>
    <w:rsid w:val="000456A1"/>
    <w:rsid w:val="00053945"/>
    <w:rsid w:val="000545A0"/>
    <w:rsid w:val="00057B39"/>
    <w:rsid w:val="00062C40"/>
    <w:rsid w:val="000648FC"/>
    <w:rsid w:val="00066DD5"/>
    <w:rsid w:val="00073123"/>
    <w:rsid w:val="00074F80"/>
    <w:rsid w:val="0007515A"/>
    <w:rsid w:val="0007686E"/>
    <w:rsid w:val="000A2BD2"/>
    <w:rsid w:val="000A37EA"/>
    <w:rsid w:val="000A39ED"/>
    <w:rsid w:val="000A7362"/>
    <w:rsid w:val="000C7A77"/>
    <w:rsid w:val="000D062C"/>
    <w:rsid w:val="000D19AF"/>
    <w:rsid w:val="000D3FEE"/>
    <w:rsid w:val="000D4813"/>
    <w:rsid w:val="000D49CE"/>
    <w:rsid w:val="000D5CF8"/>
    <w:rsid w:val="000E51B0"/>
    <w:rsid w:val="000E6362"/>
    <w:rsid w:val="000E6D08"/>
    <w:rsid w:val="000F3F6D"/>
    <w:rsid w:val="001003CC"/>
    <w:rsid w:val="001028A3"/>
    <w:rsid w:val="0010333E"/>
    <w:rsid w:val="0010386C"/>
    <w:rsid w:val="00103D51"/>
    <w:rsid w:val="00104F1F"/>
    <w:rsid w:val="00112879"/>
    <w:rsid w:val="00112C61"/>
    <w:rsid w:val="00127E5E"/>
    <w:rsid w:val="0013394E"/>
    <w:rsid w:val="001364B0"/>
    <w:rsid w:val="001430CF"/>
    <w:rsid w:val="001469BB"/>
    <w:rsid w:val="001517D4"/>
    <w:rsid w:val="001612CB"/>
    <w:rsid w:val="00163F52"/>
    <w:rsid w:val="0017319C"/>
    <w:rsid w:val="001823E3"/>
    <w:rsid w:val="00183B2D"/>
    <w:rsid w:val="001855EB"/>
    <w:rsid w:val="0019264A"/>
    <w:rsid w:val="001A52D1"/>
    <w:rsid w:val="001A7000"/>
    <w:rsid w:val="001B0F67"/>
    <w:rsid w:val="001B15E9"/>
    <w:rsid w:val="001B23A1"/>
    <w:rsid w:val="001B791D"/>
    <w:rsid w:val="001C1CE5"/>
    <w:rsid w:val="001C2B42"/>
    <w:rsid w:val="001C3B8F"/>
    <w:rsid w:val="001C45AA"/>
    <w:rsid w:val="001C4EC9"/>
    <w:rsid w:val="001C6550"/>
    <w:rsid w:val="001D116F"/>
    <w:rsid w:val="001D272A"/>
    <w:rsid w:val="001D4F49"/>
    <w:rsid w:val="001D69F4"/>
    <w:rsid w:val="001D6FC0"/>
    <w:rsid w:val="001D7026"/>
    <w:rsid w:val="001E2C94"/>
    <w:rsid w:val="001E3CC7"/>
    <w:rsid w:val="001E3DB8"/>
    <w:rsid w:val="001E3FAF"/>
    <w:rsid w:val="001E5E3B"/>
    <w:rsid w:val="001E782C"/>
    <w:rsid w:val="001F7884"/>
    <w:rsid w:val="00221F2C"/>
    <w:rsid w:val="002306F9"/>
    <w:rsid w:val="00235A3E"/>
    <w:rsid w:val="00243455"/>
    <w:rsid w:val="0024366A"/>
    <w:rsid w:val="00252F73"/>
    <w:rsid w:val="002534B1"/>
    <w:rsid w:val="002540D5"/>
    <w:rsid w:val="00260939"/>
    <w:rsid w:val="00264859"/>
    <w:rsid w:val="0027523E"/>
    <w:rsid w:val="00275696"/>
    <w:rsid w:val="0028226E"/>
    <w:rsid w:val="00284B92"/>
    <w:rsid w:val="002878FB"/>
    <w:rsid w:val="00290569"/>
    <w:rsid w:val="0029189B"/>
    <w:rsid w:val="00292A40"/>
    <w:rsid w:val="00292BA9"/>
    <w:rsid w:val="00293B45"/>
    <w:rsid w:val="002946A1"/>
    <w:rsid w:val="00297D7A"/>
    <w:rsid w:val="00297D9F"/>
    <w:rsid w:val="002A0331"/>
    <w:rsid w:val="002A0351"/>
    <w:rsid w:val="002A25EB"/>
    <w:rsid w:val="002A461F"/>
    <w:rsid w:val="002B0C04"/>
    <w:rsid w:val="002B26CE"/>
    <w:rsid w:val="002B3495"/>
    <w:rsid w:val="002B4BEC"/>
    <w:rsid w:val="002B4D7C"/>
    <w:rsid w:val="002B7137"/>
    <w:rsid w:val="002C58F4"/>
    <w:rsid w:val="002C7ACC"/>
    <w:rsid w:val="002D57FB"/>
    <w:rsid w:val="002E22D2"/>
    <w:rsid w:val="002E26FD"/>
    <w:rsid w:val="002E4720"/>
    <w:rsid w:val="002E5727"/>
    <w:rsid w:val="002E6BFA"/>
    <w:rsid w:val="002E75AD"/>
    <w:rsid w:val="002F1E56"/>
    <w:rsid w:val="002F4AFB"/>
    <w:rsid w:val="002F71CD"/>
    <w:rsid w:val="00300E99"/>
    <w:rsid w:val="0030201F"/>
    <w:rsid w:val="0030406B"/>
    <w:rsid w:val="00304154"/>
    <w:rsid w:val="00304CCC"/>
    <w:rsid w:val="0030501C"/>
    <w:rsid w:val="00307380"/>
    <w:rsid w:val="00310FFD"/>
    <w:rsid w:val="0031331E"/>
    <w:rsid w:val="00315229"/>
    <w:rsid w:val="0032362F"/>
    <w:rsid w:val="00323A68"/>
    <w:rsid w:val="00323AE8"/>
    <w:rsid w:val="0032440A"/>
    <w:rsid w:val="00332D75"/>
    <w:rsid w:val="00332DD0"/>
    <w:rsid w:val="00335ECB"/>
    <w:rsid w:val="00336725"/>
    <w:rsid w:val="00337350"/>
    <w:rsid w:val="0034121E"/>
    <w:rsid w:val="0034371D"/>
    <w:rsid w:val="0034382D"/>
    <w:rsid w:val="00344D5E"/>
    <w:rsid w:val="0034714B"/>
    <w:rsid w:val="00347F8A"/>
    <w:rsid w:val="003511D4"/>
    <w:rsid w:val="00351787"/>
    <w:rsid w:val="0035305E"/>
    <w:rsid w:val="00354F08"/>
    <w:rsid w:val="0035661D"/>
    <w:rsid w:val="00363791"/>
    <w:rsid w:val="00374236"/>
    <w:rsid w:val="003743CB"/>
    <w:rsid w:val="003764E8"/>
    <w:rsid w:val="00380E05"/>
    <w:rsid w:val="003817FE"/>
    <w:rsid w:val="00381DD7"/>
    <w:rsid w:val="003820FD"/>
    <w:rsid w:val="00390186"/>
    <w:rsid w:val="003921F6"/>
    <w:rsid w:val="0039372D"/>
    <w:rsid w:val="00394406"/>
    <w:rsid w:val="00395133"/>
    <w:rsid w:val="003A0EF9"/>
    <w:rsid w:val="003A0F2A"/>
    <w:rsid w:val="003A1952"/>
    <w:rsid w:val="003A3D4C"/>
    <w:rsid w:val="003A58FB"/>
    <w:rsid w:val="003A59E2"/>
    <w:rsid w:val="003B1870"/>
    <w:rsid w:val="003B2A7D"/>
    <w:rsid w:val="003B737B"/>
    <w:rsid w:val="003D39C2"/>
    <w:rsid w:val="003D3ED4"/>
    <w:rsid w:val="003E03E6"/>
    <w:rsid w:val="003E0985"/>
    <w:rsid w:val="003E76BF"/>
    <w:rsid w:val="003E7EB0"/>
    <w:rsid w:val="003F1C4C"/>
    <w:rsid w:val="003F3F1A"/>
    <w:rsid w:val="003F4991"/>
    <w:rsid w:val="003F57F8"/>
    <w:rsid w:val="004004A2"/>
    <w:rsid w:val="004006C2"/>
    <w:rsid w:val="00402BEB"/>
    <w:rsid w:val="00406818"/>
    <w:rsid w:val="0040771B"/>
    <w:rsid w:val="00410215"/>
    <w:rsid w:val="00415853"/>
    <w:rsid w:val="00421AD3"/>
    <w:rsid w:val="00422B7C"/>
    <w:rsid w:val="004263CB"/>
    <w:rsid w:val="00426DDD"/>
    <w:rsid w:val="00437685"/>
    <w:rsid w:val="004417BF"/>
    <w:rsid w:val="00451295"/>
    <w:rsid w:val="004536B9"/>
    <w:rsid w:val="0046045A"/>
    <w:rsid w:val="004614F1"/>
    <w:rsid w:val="0046299C"/>
    <w:rsid w:val="00462CA1"/>
    <w:rsid w:val="004634C9"/>
    <w:rsid w:val="00463F2F"/>
    <w:rsid w:val="00465000"/>
    <w:rsid w:val="00467FA4"/>
    <w:rsid w:val="004701D3"/>
    <w:rsid w:val="00471CA3"/>
    <w:rsid w:val="004757A3"/>
    <w:rsid w:val="00475F0D"/>
    <w:rsid w:val="00476453"/>
    <w:rsid w:val="00476730"/>
    <w:rsid w:val="00476FCE"/>
    <w:rsid w:val="0048153F"/>
    <w:rsid w:val="00482482"/>
    <w:rsid w:val="00484C3E"/>
    <w:rsid w:val="00487EC6"/>
    <w:rsid w:val="00492AB4"/>
    <w:rsid w:val="00497926"/>
    <w:rsid w:val="004A0B81"/>
    <w:rsid w:val="004A296B"/>
    <w:rsid w:val="004A621D"/>
    <w:rsid w:val="004B2433"/>
    <w:rsid w:val="004B3D4D"/>
    <w:rsid w:val="004B5908"/>
    <w:rsid w:val="004C04FB"/>
    <w:rsid w:val="004C1EFC"/>
    <w:rsid w:val="004C33E4"/>
    <w:rsid w:val="004D0AA0"/>
    <w:rsid w:val="004D14F8"/>
    <w:rsid w:val="004D4049"/>
    <w:rsid w:val="004D56BF"/>
    <w:rsid w:val="004D7B60"/>
    <w:rsid w:val="004E3C0E"/>
    <w:rsid w:val="004E6328"/>
    <w:rsid w:val="004F0E0A"/>
    <w:rsid w:val="004F1436"/>
    <w:rsid w:val="004F1652"/>
    <w:rsid w:val="004F1FAC"/>
    <w:rsid w:val="004F444B"/>
    <w:rsid w:val="004F4B25"/>
    <w:rsid w:val="00501C0F"/>
    <w:rsid w:val="0050351B"/>
    <w:rsid w:val="00507D65"/>
    <w:rsid w:val="00510634"/>
    <w:rsid w:val="00510CC7"/>
    <w:rsid w:val="00512950"/>
    <w:rsid w:val="00512F4B"/>
    <w:rsid w:val="0051478E"/>
    <w:rsid w:val="00514912"/>
    <w:rsid w:val="005172B6"/>
    <w:rsid w:val="00517930"/>
    <w:rsid w:val="00520720"/>
    <w:rsid w:val="005271A5"/>
    <w:rsid w:val="0053253F"/>
    <w:rsid w:val="00533111"/>
    <w:rsid w:val="00533CF2"/>
    <w:rsid w:val="005342AA"/>
    <w:rsid w:val="00541C44"/>
    <w:rsid w:val="00541D35"/>
    <w:rsid w:val="0054679B"/>
    <w:rsid w:val="005504C9"/>
    <w:rsid w:val="00553D96"/>
    <w:rsid w:val="00555263"/>
    <w:rsid w:val="0055729F"/>
    <w:rsid w:val="005676C0"/>
    <w:rsid w:val="0057287B"/>
    <w:rsid w:val="00580661"/>
    <w:rsid w:val="00581804"/>
    <w:rsid w:val="0058183A"/>
    <w:rsid w:val="00585405"/>
    <w:rsid w:val="005873B1"/>
    <w:rsid w:val="0059391E"/>
    <w:rsid w:val="005A6F8A"/>
    <w:rsid w:val="005B0FB5"/>
    <w:rsid w:val="005B178D"/>
    <w:rsid w:val="005B2A19"/>
    <w:rsid w:val="005B320C"/>
    <w:rsid w:val="005B4734"/>
    <w:rsid w:val="005B5100"/>
    <w:rsid w:val="005B63EF"/>
    <w:rsid w:val="005C070D"/>
    <w:rsid w:val="005C438E"/>
    <w:rsid w:val="005C476A"/>
    <w:rsid w:val="005C4B3F"/>
    <w:rsid w:val="005C5B71"/>
    <w:rsid w:val="005C7F9E"/>
    <w:rsid w:val="005D1278"/>
    <w:rsid w:val="005D26D9"/>
    <w:rsid w:val="005E0BB7"/>
    <w:rsid w:val="005E6635"/>
    <w:rsid w:val="0061008A"/>
    <w:rsid w:val="00616EE8"/>
    <w:rsid w:val="00621276"/>
    <w:rsid w:val="00621EC6"/>
    <w:rsid w:val="00622C65"/>
    <w:rsid w:val="006325E7"/>
    <w:rsid w:val="006350C0"/>
    <w:rsid w:val="0063627A"/>
    <w:rsid w:val="00643D69"/>
    <w:rsid w:val="00644E77"/>
    <w:rsid w:val="00647D91"/>
    <w:rsid w:val="006522AD"/>
    <w:rsid w:val="00657A60"/>
    <w:rsid w:val="00666D34"/>
    <w:rsid w:val="00672C0F"/>
    <w:rsid w:val="00681C2A"/>
    <w:rsid w:val="006855A7"/>
    <w:rsid w:val="00687F55"/>
    <w:rsid w:val="00692627"/>
    <w:rsid w:val="00692B0B"/>
    <w:rsid w:val="006943A6"/>
    <w:rsid w:val="0069715D"/>
    <w:rsid w:val="006A1D15"/>
    <w:rsid w:val="006A317F"/>
    <w:rsid w:val="006B0F59"/>
    <w:rsid w:val="006B1B89"/>
    <w:rsid w:val="006C4865"/>
    <w:rsid w:val="006C621E"/>
    <w:rsid w:val="006C7983"/>
    <w:rsid w:val="006E00FE"/>
    <w:rsid w:val="006E17E9"/>
    <w:rsid w:val="006E3456"/>
    <w:rsid w:val="006F28DB"/>
    <w:rsid w:val="006F3417"/>
    <w:rsid w:val="006F4068"/>
    <w:rsid w:val="006F522F"/>
    <w:rsid w:val="006F6810"/>
    <w:rsid w:val="006F6821"/>
    <w:rsid w:val="006F7099"/>
    <w:rsid w:val="007004BF"/>
    <w:rsid w:val="007007B0"/>
    <w:rsid w:val="007058DF"/>
    <w:rsid w:val="00710788"/>
    <w:rsid w:val="00710AB0"/>
    <w:rsid w:val="00710F60"/>
    <w:rsid w:val="00713128"/>
    <w:rsid w:val="007256FF"/>
    <w:rsid w:val="007334BE"/>
    <w:rsid w:val="00734738"/>
    <w:rsid w:val="00734EEB"/>
    <w:rsid w:val="0073603D"/>
    <w:rsid w:val="007414A0"/>
    <w:rsid w:val="00746AC1"/>
    <w:rsid w:val="00754146"/>
    <w:rsid w:val="00755CEE"/>
    <w:rsid w:val="0076291B"/>
    <w:rsid w:val="00765B49"/>
    <w:rsid w:val="00771DBD"/>
    <w:rsid w:val="00772376"/>
    <w:rsid w:val="00773C21"/>
    <w:rsid w:val="00785174"/>
    <w:rsid w:val="00786834"/>
    <w:rsid w:val="007A044E"/>
    <w:rsid w:val="007A6927"/>
    <w:rsid w:val="007B1A10"/>
    <w:rsid w:val="007B3068"/>
    <w:rsid w:val="007B3257"/>
    <w:rsid w:val="007B5EFD"/>
    <w:rsid w:val="007D2A20"/>
    <w:rsid w:val="007D3802"/>
    <w:rsid w:val="007D506F"/>
    <w:rsid w:val="007E0147"/>
    <w:rsid w:val="007E2716"/>
    <w:rsid w:val="007E3D3F"/>
    <w:rsid w:val="007E4510"/>
    <w:rsid w:val="007E5719"/>
    <w:rsid w:val="007F2734"/>
    <w:rsid w:val="008056A1"/>
    <w:rsid w:val="00806B85"/>
    <w:rsid w:val="0081123F"/>
    <w:rsid w:val="008233B2"/>
    <w:rsid w:val="00824BFA"/>
    <w:rsid w:val="00824D69"/>
    <w:rsid w:val="00826071"/>
    <w:rsid w:val="00827462"/>
    <w:rsid w:val="00827BB1"/>
    <w:rsid w:val="00827F9F"/>
    <w:rsid w:val="00831F05"/>
    <w:rsid w:val="0083304E"/>
    <w:rsid w:val="008341D4"/>
    <w:rsid w:val="00834707"/>
    <w:rsid w:val="00837609"/>
    <w:rsid w:val="00847217"/>
    <w:rsid w:val="0085206F"/>
    <w:rsid w:val="00854EAF"/>
    <w:rsid w:val="00855A6E"/>
    <w:rsid w:val="00856004"/>
    <w:rsid w:val="00857AAE"/>
    <w:rsid w:val="008654A6"/>
    <w:rsid w:val="00867C68"/>
    <w:rsid w:val="0087520F"/>
    <w:rsid w:val="00880E39"/>
    <w:rsid w:val="00882BF2"/>
    <w:rsid w:val="008832BA"/>
    <w:rsid w:val="0088331B"/>
    <w:rsid w:val="00886778"/>
    <w:rsid w:val="00890C5B"/>
    <w:rsid w:val="00894C12"/>
    <w:rsid w:val="00896800"/>
    <w:rsid w:val="008A3D5F"/>
    <w:rsid w:val="008A4596"/>
    <w:rsid w:val="008A6E56"/>
    <w:rsid w:val="008A7DC2"/>
    <w:rsid w:val="008B6DAA"/>
    <w:rsid w:val="008B6F2C"/>
    <w:rsid w:val="008D06E1"/>
    <w:rsid w:val="008D52DB"/>
    <w:rsid w:val="008D615C"/>
    <w:rsid w:val="008E1066"/>
    <w:rsid w:val="008E1C33"/>
    <w:rsid w:val="008F788A"/>
    <w:rsid w:val="00901985"/>
    <w:rsid w:val="00906717"/>
    <w:rsid w:val="00916AAC"/>
    <w:rsid w:val="00920152"/>
    <w:rsid w:val="009235F4"/>
    <w:rsid w:val="0092504C"/>
    <w:rsid w:val="009260F9"/>
    <w:rsid w:val="0092631A"/>
    <w:rsid w:val="00931720"/>
    <w:rsid w:val="00932B44"/>
    <w:rsid w:val="00935F75"/>
    <w:rsid w:val="00940CF0"/>
    <w:rsid w:val="00943E1D"/>
    <w:rsid w:val="009473AD"/>
    <w:rsid w:val="00950575"/>
    <w:rsid w:val="00953A15"/>
    <w:rsid w:val="00953F2F"/>
    <w:rsid w:val="00955B5A"/>
    <w:rsid w:val="009603ED"/>
    <w:rsid w:val="009661BE"/>
    <w:rsid w:val="00972D25"/>
    <w:rsid w:val="0097323F"/>
    <w:rsid w:val="0097558C"/>
    <w:rsid w:val="009804FE"/>
    <w:rsid w:val="00982237"/>
    <w:rsid w:val="00985A59"/>
    <w:rsid w:val="009920BF"/>
    <w:rsid w:val="00992D83"/>
    <w:rsid w:val="00996081"/>
    <w:rsid w:val="009968E0"/>
    <w:rsid w:val="009A1DFD"/>
    <w:rsid w:val="009B29BC"/>
    <w:rsid w:val="009B4EFF"/>
    <w:rsid w:val="009B5289"/>
    <w:rsid w:val="009B6330"/>
    <w:rsid w:val="009B79C2"/>
    <w:rsid w:val="009C1679"/>
    <w:rsid w:val="009C31D5"/>
    <w:rsid w:val="009C5413"/>
    <w:rsid w:val="009C5830"/>
    <w:rsid w:val="009C66C4"/>
    <w:rsid w:val="009D77D6"/>
    <w:rsid w:val="009E05BA"/>
    <w:rsid w:val="009E49BA"/>
    <w:rsid w:val="009F4DD5"/>
    <w:rsid w:val="009F6C0C"/>
    <w:rsid w:val="00A0352A"/>
    <w:rsid w:val="00A03A13"/>
    <w:rsid w:val="00A03E61"/>
    <w:rsid w:val="00A06286"/>
    <w:rsid w:val="00A0660D"/>
    <w:rsid w:val="00A06A85"/>
    <w:rsid w:val="00A074EB"/>
    <w:rsid w:val="00A11BBE"/>
    <w:rsid w:val="00A2027A"/>
    <w:rsid w:val="00A23DFA"/>
    <w:rsid w:val="00A2643E"/>
    <w:rsid w:val="00A2700F"/>
    <w:rsid w:val="00A30183"/>
    <w:rsid w:val="00A30E7B"/>
    <w:rsid w:val="00A325DE"/>
    <w:rsid w:val="00A340F8"/>
    <w:rsid w:val="00A34E9B"/>
    <w:rsid w:val="00A3603F"/>
    <w:rsid w:val="00A37780"/>
    <w:rsid w:val="00A3788B"/>
    <w:rsid w:val="00A40315"/>
    <w:rsid w:val="00A443BF"/>
    <w:rsid w:val="00A47DD2"/>
    <w:rsid w:val="00A51763"/>
    <w:rsid w:val="00A550D6"/>
    <w:rsid w:val="00A61A4B"/>
    <w:rsid w:val="00A64D8F"/>
    <w:rsid w:val="00A71133"/>
    <w:rsid w:val="00A765A2"/>
    <w:rsid w:val="00A82187"/>
    <w:rsid w:val="00A828E7"/>
    <w:rsid w:val="00A83DA8"/>
    <w:rsid w:val="00A87ACF"/>
    <w:rsid w:val="00A908BD"/>
    <w:rsid w:val="00AA2B0C"/>
    <w:rsid w:val="00AA6C7C"/>
    <w:rsid w:val="00AB2579"/>
    <w:rsid w:val="00AB342F"/>
    <w:rsid w:val="00AB343A"/>
    <w:rsid w:val="00AB410D"/>
    <w:rsid w:val="00AC16DE"/>
    <w:rsid w:val="00AC1E03"/>
    <w:rsid w:val="00AC5152"/>
    <w:rsid w:val="00AD656E"/>
    <w:rsid w:val="00AD6794"/>
    <w:rsid w:val="00AE2D68"/>
    <w:rsid w:val="00AE3A20"/>
    <w:rsid w:val="00AE582B"/>
    <w:rsid w:val="00AE6279"/>
    <w:rsid w:val="00AE7A2E"/>
    <w:rsid w:val="00AF0433"/>
    <w:rsid w:val="00B009DC"/>
    <w:rsid w:val="00B02073"/>
    <w:rsid w:val="00B03515"/>
    <w:rsid w:val="00B045F8"/>
    <w:rsid w:val="00B064ED"/>
    <w:rsid w:val="00B12673"/>
    <w:rsid w:val="00B17B59"/>
    <w:rsid w:val="00B20236"/>
    <w:rsid w:val="00B317D8"/>
    <w:rsid w:val="00B31C37"/>
    <w:rsid w:val="00B435E4"/>
    <w:rsid w:val="00B4450C"/>
    <w:rsid w:val="00B46E5F"/>
    <w:rsid w:val="00B500FF"/>
    <w:rsid w:val="00B57569"/>
    <w:rsid w:val="00B61434"/>
    <w:rsid w:val="00B62369"/>
    <w:rsid w:val="00B6272B"/>
    <w:rsid w:val="00B63B7C"/>
    <w:rsid w:val="00B64DE2"/>
    <w:rsid w:val="00B65D07"/>
    <w:rsid w:val="00B712CE"/>
    <w:rsid w:val="00B7509E"/>
    <w:rsid w:val="00B77EF4"/>
    <w:rsid w:val="00B80D58"/>
    <w:rsid w:val="00B80EEA"/>
    <w:rsid w:val="00B83014"/>
    <w:rsid w:val="00B87502"/>
    <w:rsid w:val="00B9089C"/>
    <w:rsid w:val="00B95DC8"/>
    <w:rsid w:val="00B9734A"/>
    <w:rsid w:val="00B97863"/>
    <w:rsid w:val="00BA06AA"/>
    <w:rsid w:val="00BB135B"/>
    <w:rsid w:val="00BC28F8"/>
    <w:rsid w:val="00BC34EC"/>
    <w:rsid w:val="00BC4718"/>
    <w:rsid w:val="00BD08EE"/>
    <w:rsid w:val="00BD1094"/>
    <w:rsid w:val="00BD2B19"/>
    <w:rsid w:val="00BD6ADE"/>
    <w:rsid w:val="00BE3A71"/>
    <w:rsid w:val="00BE70BE"/>
    <w:rsid w:val="00BF092B"/>
    <w:rsid w:val="00BF1405"/>
    <w:rsid w:val="00BF1A37"/>
    <w:rsid w:val="00BF3C5A"/>
    <w:rsid w:val="00BF6332"/>
    <w:rsid w:val="00BF6A9B"/>
    <w:rsid w:val="00C072D6"/>
    <w:rsid w:val="00C12905"/>
    <w:rsid w:val="00C20CE6"/>
    <w:rsid w:val="00C20D8B"/>
    <w:rsid w:val="00C2601D"/>
    <w:rsid w:val="00C30852"/>
    <w:rsid w:val="00C30BD8"/>
    <w:rsid w:val="00C32B67"/>
    <w:rsid w:val="00C33781"/>
    <w:rsid w:val="00C34049"/>
    <w:rsid w:val="00C34901"/>
    <w:rsid w:val="00C3798F"/>
    <w:rsid w:val="00C45E03"/>
    <w:rsid w:val="00C46FDD"/>
    <w:rsid w:val="00C517B8"/>
    <w:rsid w:val="00C53A3F"/>
    <w:rsid w:val="00C562FB"/>
    <w:rsid w:val="00C611D7"/>
    <w:rsid w:val="00C6430C"/>
    <w:rsid w:val="00C65A01"/>
    <w:rsid w:val="00C734F3"/>
    <w:rsid w:val="00C85C2C"/>
    <w:rsid w:val="00C86C9D"/>
    <w:rsid w:val="00C87500"/>
    <w:rsid w:val="00C90A18"/>
    <w:rsid w:val="00C928FD"/>
    <w:rsid w:val="00C94047"/>
    <w:rsid w:val="00C94378"/>
    <w:rsid w:val="00C96BE6"/>
    <w:rsid w:val="00CA0CD4"/>
    <w:rsid w:val="00CA1185"/>
    <w:rsid w:val="00CA1C83"/>
    <w:rsid w:val="00CA52EE"/>
    <w:rsid w:val="00CB0221"/>
    <w:rsid w:val="00CC4AED"/>
    <w:rsid w:val="00CC6A7C"/>
    <w:rsid w:val="00CC6CB0"/>
    <w:rsid w:val="00CC798F"/>
    <w:rsid w:val="00CD115E"/>
    <w:rsid w:val="00CD11DA"/>
    <w:rsid w:val="00CD1F7B"/>
    <w:rsid w:val="00CD2250"/>
    <w:rsid w:val="00CD4B20"/>
    <w:rsid w:val="00CD6FA1"/>
    <w:rsid w:val="00CD70DA"/>
    <w:rsid w:val="00CE207F"/>
    <w:rsid w:val="00CF529E"/>
    <w:rsid w:val="00CF6F1F"/>
    <w:rsid w:val="00D00A0D"/>
    <w:rsid w:val="00D045FA"/>
    <w:rsid w:val="00D10DF5"/>
    <w:rsid w:val="00D12639"/>
    <w:rsid w:val="00D13815"/>
    <w:rsid w:val="00D153A4"/>
    <w:rsid w:val="00D170EA"/>
    <w:rsid w:val="00D20ABD"/>
    <w:rsid w:val="00D2332B"/>
    <w:rsid w:val="00D25BFC"/>
    <w:rsid w:val="00D33851"/>
    <w:rsid w:val="00D33FFE"/>
    <w:rsid w:val="00D355A0"/>
    <w:rsid w:val="00D36438"/>
    <w:rsid w:val="00D415A7"/>
    <w:rsid w:val="00D431AD"/>
    <w:rsid w:val="00D445FC"/>
    <w:rsid w:val="00D5339A"/>
    <w:rsid w:val="00D56845"/>
    <w:rsid w:val="00D60670"/>
    <w:rsid w:val="00D614E4"/>
    <w:rsid w:val="00D66CF3"/>
    <w:rsid w:val="00D74368"/>
    <w:rsid w:val="00D7532A"/>
    <w:rsid w:val="00D75850"/>
    <w:rsid w:val="00D9004F"/>
    <w:rsid w:val="00D9610E"/>
    <w:rsid w:val="00DA021A"/>
    <w:rsid w:val="00DA2095"/>
    <w:rsid w:val="00DA635F"/>
    <w:rsid w:val="00DB2CEC"/>
    <w:rsid w:val="00DB3CD6"/>
    <w:rsid w:val="00DB497A"/>
    <w:rsid w:val="00DB74F6"/>
    <w:rsid w:val="00DC1F4D"/>
    <w:rsid w:val="00DC38C0"/>
    <w:rsid w:val="00DC40F3"/>
    <w:rsid w:val="00DC4E68"/>
    <w:rsid w:val="00DC6A9D"/>
    <w:rsid w:val="00DD39F8"/>
    <w:rsid w:val="00DD7076"/>
    <w:rsid w:val="00DE0308"/>
    <w:rsid w:val="00DE5AA5"/>
    <w:rsid w:val="00DE6267"/>
    <w:rsid w:val="00DF3EC0"/>
    <w:rsid w:val="00DF3F21"/>
    <w:rsid w:val="00DF45F6"/>
    <w:rsid w:val="00DF45FC"/>
    <w:rsid w:val="00E0419F"/>
    <w:rsid w:val="00E053A9"/>
    <w:rsid w:val="00E05A34"/>
    <w:rsid w:val="00E13A55"/>
    <w:rsid w:val="00E17090"/>
    <w:rsid w:val="00E178B2"/>
    <w:rsid w:val="00E17EC6"/>
    <w:rsid w:val="00E230B8"/>
    <w:rsid w:val="00E23192"/>
    <w:rsid w:val="00E24D96"/>
    <w:rsid w:val="00E35BB4"/>
    <w:rsid w:val="00E360F8"/>
    <w:rsid w:val="00E50125"/>
    <w:rsid w:val="00E640A5"/>
    <w:rsid w:val="00E65E82"/>
    <w:rsid w:val="00E71BB7"/>
    <w:rsid w:val="00E76B74"/>
    <w:rsid w:val="00E76CFE"/>
    <w:rsid w:val="00E82BC1"/>
    <w:rsid w:val="00E84358"/>
    <w:rsid w:val="00E84D0A"/>
    <w:rsid w:val="00E84DE9"/>
    <w:rsid w:val="00E903E7"/>
    <w:rsid w:val="00EA2635"/>
    <w:rsid w:val="00EA43DE"/>
    <w:rsid w:val="00EA602F"/>
    <w:rsid w:val="00EA7DF3"/>
    <w:rsid w:val="00EB1086"/>
    <w:rsid w:val="00EB19F9"/>
    <w:rsid w:val="00EB2076"/>
    <w:rsid w:val="00EB5097"/>
    <w:rsid w:val="00EC0DB1"/>
    <w:rsid w:val="00EC152E"/>
    <w:rsid w:val="00EC240C"/>
    <w:rsid w:val="00EC2E5D"/>
    <w:rsid w:val="00EC6C11"/>
    <w:rsid w:val="00EC71B0"/>
    <w:rsid w:val="00ED25C0"/>
    <w:rsid w:val="00ED3F1F"/>
    <w:rsid w:val="00ED4B29"/>
    <w:rsid w:val="00ED4C5B"/>
    <w:rsid w:val="00ED53DB"/>
    <w:rsid w:val="00EE0374"/>
    <w:rsid w:val="00EE27B2"/>
    <w:rsid w:val="00EE5B6D"/>
    <w:rsid w:val="00EE6F90"/>
    <w:rsid w:val="00EF0862"/>
    <w:rsid w:val="00EF600A"/>
    <w:rsid w:val="00F0333B"/>
    <w:rsid w:val="00F10CDD"/>
    <w:rsid w:val="00F1374C"/>
    <w:rsid w:val="00F244A9"/>
    <w:rsid w:val="00F25479"/>
    <w:rsid w:val="00F270A5"/>
    <w:rsid w:val="00F320E5"/>
    <w:rsid w:val="00F3616B"/>
    <w:rsid w:val="00F412AE"/>
    <w:rsid w:val="00F42E7A"/>
    <w:rsid w:val="00F445E9"/>
    <w:rsid w:val="00F47DFA"/>
    <w:rsid w:val="00F5091E"/>
    <w:rsid w:val="00F57C83"/>
    <w:rsid w:val="00F607D7"/>
    <w:rsid w:val="00F6593A"/>
    <w:rsid w:val="00F65B25"/>
    <w:rsid w:val="00F679BB"/>
    <w:rsid w:val="00F7175D"/>
    <w:rsid w:val="00F71988"/>
    <w:rsid w:val="00F72A65"/>
    <w:rsid w:val="00F7673F"/>
    <w:rsid w:val="00F80E35"/>
    <w:rsid w:val="00F87D41"/>
    <w:rsid w:val="00F92D36"/>
    <w:rsid w:val="00F9520E"/>
    <w:rsid w:val="00F97947"/>
    <w:rsid w:val="00FA29AD"/>
    <w:rsid w:val="00FA2AB0"/>
    <w:rsid w:val="00FB09A3"/>
    <w:rsid w:val="00FB4871"/>
    <w:rsid w:val="00FB7128"/>
    <w:rsid w:val="00FC7300"/>
    <w:rsid w:val="00FD156F"/>
    <w:rsid w:val="00FD4404"/>
    <w:rsid w:val="00FF1A07"/>
    <w:rsid w:val="00FF3E78"/>
    <w:rsid w:val="03448817"/>
    <w:rsid w:val="0515C368"/>
    <w:rsid w:val="0542F3BB"/>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semiHidden/>
    <w:unhideWhenUsed/>
    <w:rsid w:val="00A87ACF"/>
  </w:style>
  <w:style w:type="character" w:customStyle="1" w:styleId="CommentTextChar">
    <w:name w:val="Comment Text Char"/>
    <w:link w:val="CommentText"/>
    <w:uiPriority w:val="99"/>
    <w:semiHidden/>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Revision">
    <w:name w:val="Revision"/>
    <w:hidden/>
    <w:uiPriority w:val="99"/>
    <w:semiHidden/>
    <w:rsid w:val="00FD4404"/>
    <w:rPr>
      <w:rFonts w:ascii="Arial" w:hAnsi="Arial"/>
      <w:lang w:eastAsia="en-US"/>
    </w:rPr>
  </w:style>
  <w:style w:type="paragraph" w:styleId="ListParagraph">
    <w:name w:val="List Paragraph"/>
    <w:basedOn w:val="Normal"/>
    <w:uiPriority w:val="34"/>
    <w:qFormat/>
    <w:rsid w:val="00B64D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67067">
      <w:bodyDiv w:val="1"/>
      <w:marLeft w:val="0"/>
      <w:marRight w:val="0"/>
      <w:marTop w:val="0"/>
      <w:marBottom w:val="0"/>
      <w:divBdr>
        <w:top w:val="none" w:sz="0" w:space="0" w:color="auto"/>
        <w:left w:val="none" w:sz="0" w:space="0" w:color="auto"/>
        <w:bottom w:val="none" w:sz="0" w:space="0" w:color="auto"/>
        <w:right w:val="none" w:sz="0" w:space="0" w:color="auto"/>
      </w:divBdr>
      <w:divsChild>
        <w:div w:id="1117484551">
          <w:marLeft w:val="0"/>
          <w:marRight w:val="0"/>
          <w:marTop w:val="0"/>
          <w:marBottom w:val="0"/>
          <w:divBdr>
            <w:top w:val="none" w:sz="0" w:space="0" w:color="auto"/>
            <w:left w:val="none" w:sz="0" w:space="0" w:color="auto"/>
            <w:bottom w:val="none" w:sz="0" w:space="0" w:color="auto"/>
            <w:right w:val="none" w:sz="0" w:space="0" w:color="auto"/>
          </w:divBdr>
        </w:div>
        <w:div w:id="167447827">
          <w:marLeft w:val="0"/>
          <w:marRight w:val="0"/>
          <w:marTop w:val="0"/>
          <w:marBottom w:val="0"/>
          <w:divBdr>
            <w:top w:val="none" w:sz="0" w:space="0" w:color="auto"/>
            <w:left w:val="none" w:sz="0" w:space="0" w:color="auto"/>
            <w:bottom w:val="none" w:sz="0" w:space="0" w:color="auto"/>
            <w:right w:val="none" w:sz="0" w:space="0" w:color="auto"/>
          </w:divBdr>
        </w:div>
        <w:div w:id="340863782">
          <w:marLeft w:val="0"/>
          <w:marRight w:val="0"/>
          <w:marTop w:val="0"/>
          <w:marBottom w:val="0"/>
          <w:divBdr>
            <w:top w:val="none" w:sz="0" w:space="0" w:color="auto"/>
            <w:left w:val="none" w:sz="0" w:space="0" w:color="auto"/>
            <w:bottom w:val="none" w:sz="0" w:space="0" w:color="auto"/>
            <w:right w:val="none" w:sz="0" w:space="0" w:color="auto"/>
          </w:divBdr>
        </w:div>
        <w:div w:id="1494449778">
          <w:marLeft w:val="0"/>
          <w:marRight w:val="0"/>
          <w:marTop w:val="0"/>
          <w:marBottom w:val="0"/>
          <w:divBdr>
            <w:top w:val="none" w:sz="0" w:space="0" w:color="auto"/>
            <w:left w:val="none" w:sz="0" w:space="0" w:color="auto"/>
            <w:bottom w:val="none" w:sz="0" w:space="0" w:color="auto"/>
            <w:right w:val="none" w:sz="0" w:space="0" w:color="auto"/>
          </w:divBdr>
        </w:div>
      </w:divsChild>
    </w:div>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2535E-6FC2-4046-A4F8-E001D4485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3.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4.xml><?xml version="1.0" encoding="utf-8"?>
<ds:datastoreItem xmlns:ds="http://schemas.openxmlformats.org/officeDocument/2006/customXml" ds:itemID="{89926524-80B8-48E1-B56F-C3FA69EE4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2716</Words>
  <Characters>14588</Characters>
  <Application>Microsoft Office Word</Application>
  <DocSecurity>0</DocSecurity>
  <Lines>364</Lines>
  <Paragraphs>127</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17177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4</cp:revision>
  <cp:lastPrinted>2017-04-07T00:02:00Z</cp:lastPrinted>
  <dcterms:created xsi:type="dcterms:W3CDTF">2022-04-08T03:46:00Z</dcterms:created>
  <dcterms:modified xsi:type="dcterms:W3CDTF">2022-06-20T00:03:00Z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