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BFE9D" w14:textId="0AEE8CFD" w:rsidR="0007515A" w:rsidRPr="00533CF2" w:rsidRDefault="00FA29AD">
      <w:pPr>
        <w:rPr>
          <w:rFonts w:cs="Arial"/>
          <w:sz w:val="21"/>
          <w:szCs w:val="21"/>
        </w:rPr>
      </w:pP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t xml:space="preserve"> </w:t>
      </w:r>
    </w:p>
    <w:tbl>
      <w:tblPr>
        <w:tblW w:w="8613" w:type="dxa"/>
        <w:tblLook w:val="01E0" w:firstRow="1" w:lastRow="1" w:firstColumn="1" w:lastColumn="1" w:noHBand="0" w:noVBand="0"/>
      </w:tblPr>
      <w:tblGrid>
        <w:gridCol w:w="8613"/>
      </w:tblGrid>
      <w:tr w:rsidR="00824D69" w:rsidRPr="00533CF2" w14:paraId="69B64CA2" w14:textId="77777777" w:rsidTr="56C570C5">
        <w:tc>
          <w:tcPr>
            <w:tcW w:w="8613" w:type="dxa"/>
          </w:tcPr>
          <w:p w14:paraId="2523CE83" w14:textId="118F268B" w:rsidR="00824D69" w:rsidRPr="00533CF2" w:rsidRDefault="00F969C3" w:rsidP="00D00A0D">
            <w:pPr>
              <w:jc w:val="left"/>
              <w:rPr>
                <w:rFonts w:cs="Arial"/>
                <w:b/>
                <w:sz w:val="21"/>
                <w:szCs w:val="21"/>
              </w:rPr>
            </w:pPr>
            <w:r>
              <w:rPr>
                <w:rFonts w:cs="Arial"/>
                <w:b/>
                <w:sz w:val="21"/>
                <w:szCs w:val="21"/>
              </w:rPr>
              <w:t>130 La</w:t>
            </w:r>
            <w:r w:rsidR="00C343FC">
              <w:rPr>
                <w:rFonts w:cs="Arial"/>
                <w:b/>
                <w:sz w:val="21"/>
                <w:szCs w:val="21"/>
              </w:rPr>
              <w:t>ughing Waters Road, Eltham</w:t>
            </w:r>
          </w:p>
        </w:tc>
      </w:tr>
      <w:tr w:rsidR="0053253F" w:rsidRPr="00533CF2" w14:paraId="48F0B5C5" w14:textId="77777777" w:rsidTr="56C570C5">
        <w:tc>
          <w:tcPr>
            <w:tcW w:w="8613" w:type="dxa"/>
          </w:tcPr>
          <w:p w14:paraId="11A6C2EA" w14:textId="77777777" w:rsidR="0053253F" w:rsidRPr="00533CF2" w:rsidRDefault="0053253F" w:rsidP="0053253F">
            <w:pPr>
              <w:rPr>
                <w:rFonts w:cs="Arial"/>
                <w:sz w:val="21"/>
                <w:szCs w:val="21"/>
              </w:rPr>
            </w:pPr>
          </w:p>
          <w:p w14:paraId="4590393D" w14:textId="4D1E3229" w:rsidR="0053253F" w:rsidRPr="00533CF2" w:rsidRDefault="0053253F" w:rsidP="00E0419F">
            <w:pPr>
              <w:rPr>
                <w:rFonts w:cs="Arial"/>
                <w:sz w:val="21"/>
                <w:szCs w:val="21"/>
              </w:rPr>
            </w:pPr>
            <w:r w:rsidRPr="56C570C5">
              <w:rPr>
                <w:rFonts w:cs="Arial"/>
                <w:sz w:val="21"/>
                <w:szCs w:val="21"/>
              </w:rPr>
              <w:t xml:space="preserve">Prepared by: </w:t>
            </w:r>
            <w:r w:rsidR="007A044E" w:rsidRPr="56C570C5">
              <w:rPr>
                <w:rFonts w:cs="Arial"/>
                <w:sz w:val="21"/>
                <w:szCs w:val="21"/>
              </w:rPr>
              <w:t>Trethowan Architect</w:t>
            </w:r>
            <w:r w:rsidR="00AA2B0C" w:rsidRPr="56C570C5">
              <w:rPr>
                <w:rFonts w:cs="Arial"/>
                <w:sz w:val="21"/>
                <w:szCs w:val="21"/>
              </w:rPr>
              <w:t>ure</w:t>
            </w:r>
          </w:p>
        </w:tc>
      </w:tr>
    </w:tbl>
    <w:p w14:paraId="557A33E3" w14:textId="77777777" w:rsidR="00FA29AD" w:rsidRPr="00533CF2" w:rsidRDefault="00FA29AD" w:rsidP="0053253F">
      <w:pPr>
        <w:rPr>
          <w:rFonts w:cs="Arial"/>
          <w:sz w:val="21"/>
          <w:szCs w:val="21"/>
        </w:rPr>
      </w:pPr>
    </w:p>
    <w:tbl>
      <w:tblPr>
        <w:tblW w:w="8613" w:type="dxa"/>
        <w:tblBorders>
          <w:insideH w:val="single" w:sz="4" w:space="0" w:color="auto"/>
          <w:insideV w:val="single" w:sz="4" w:space="0" w:color="auto"/>
        </w:tblBorders>
        <w:tblLook w:val="01E0" w:firstRow="1" w:lastRow="1" w:firstColumn="1" w:lastColumn="1" w:noHBand="0" w:noVBand="0"/>
      </w:tblPr>
      <w:tblGrid>
        <w:gridCol w:w="5495"/>
        <w:gridCol w:w="3118"/>
      </w:tblGrid>
      <w:tr w:rsidR="00F412AE" w:rsidRPr="00533CF2" w14:paraId="51C0521A" w14:textId="77777777" w:rsidTr="00492AB4">
        <w:trPr>
          <w:trHeight w:val="397"/>
        </w:trPr>
        <w:tc>
          <w:tcPr>
            <w:tcW w:w="8613" w:type="dxa"/>
            <w:gridSpan w:val="2"/>
          </w:tcPr>
          <w:p w14:paraId="4C2565D4" w14:textId="5DB3766B" w:rsidR="00F412AE" w:rsidRPr="00C343FC" w:rsidRDefault="00F412AE" w:rsidP="00465000">
            <w:pPr>
              <w:rPr>
                <w:rFonts w:cs="Arial"/>
                <w:bCs/>
                <w:sz w:val="21"/>
                <w:szCs w:val="21"/>
              </w:rPr>
            </w:pPr>
            <w:r w:rsidRPr="00533CF2">
              <w:rPr>
                <w:rFonts w:cs="Arial"/>
                <w:b/>
                <w:sz w:val="21"/>
                <w:szCs w:val="21"/>
              </w:rPr>
              <w:t>Address:</w:t>
            </w:r>
            <w:r w:rsidR="00E0419F">
              <w:rPr>
                <w:rFonts w:cs="Arial"/>
                <w:b/>
                <w:sz w:val="21"/>
                <w:szCs w:val="21"/>
              </w:rPr>
              <w:t xml:space="preserve"> </w:t>
            </w:r>
            <w:r w:rsidR="00C343FC">
              <w:rPr>
                <w:rFonts w:cs="Arial"/>
                <w:bCs/>
                <w:sz w:val="21"/>
                <w:szCs w:val="21"/>
              </w:rPr>
              <w:t>130 Laughing Waters Road, Eltham</w:t>
            </w:r>
          </w:p>
        </w:tc>
      </w:tr>
      <w:tr w:rsidR="00D00A0D" w:rsidRPr="00533CF2" w14:paraId="25C448F6" w14:textId="77777777" w:rsidTr="00492AB4">
        <w:trPr>
          <w:trHeight w:val="397"/>
        </w:trPr>
        <w:tc>
          <w:tcPr>
            <w:tcW w:w="5495" w:type="dxa"/>
          </w:tcPr>
          <w:p w14:paraId="5A1A9259" w14:textId="1215E7FA" w:rsidR="00D00A0D" w:rsidRPr="00C343FC" w:rsidRDefault="00D00A0D" w:rsidP="00465000">
            <w:pPr>
              <w:rPr>
                <w:rFonts w:cs="Arial"/>
                <w:bCs/>
                <w:sz w:val="21"/>
                <w:szCs w:val="21"/>
              </w:rPr>
            </w:pPr>
            <w:r w:rsidRPr="00533CF2">
              <w:rPr>
                <w:rFonts w:cs="Arial"/>
                <w:b/>
                <w:sz w:val="21"/>
                <w:szCs w:val="21"/>
              </w:rPr>
              <w:t xml:space="preserve">Name: </w:t>
            </w:r>
            <w:r w:rsidR="00A72A2B">
              <w:rPr>
                <w:rFonts w:cs="Arial"/>
                <w:bCs/>
                <w:sz w:val="21"/>
                <w:szCs w:val="21"/>
              </w:rPr>
              <w:t>Riverbend</w:t>
            </w:r>
            <w:r w:rsidR="009C4637">
              <w:rPr>
                <w:rFonts w:cs="Arial"/>
                <w:bCs/>
                <w:sz w:val="21"/>
                <w:szCs w:val="21"/>
              </w:rPr>
              <w:t>, formerly Tilwinda</w:t>
            </w:r>
          </w:p>
        </w:tc>
        <w:tc>
          <w:tcPr>
            <w:tcW w:w="3118" w:type="dxa"/>
          </w:tcPr>
          <w:p w14:paraId="486D578B" w14:textId="2F5ABBC5" w:rsidR="00D00A0D" w:rsidRPr="002A6489" w:rsidRDefault="00D00A0D" w:rsidP="00465000">
            <w:pPr>
              <w:rPr>
                <w:rFonts w:cs="Arial"/>
                <w:bCs/>
                <w:sz w:val="21"/>
                <w:szCs w:val="21"/>
              </w:rPr>
            </w:pPr>
            <w:r w:rsidRPr="00533CF2">
              <w:rPr>
                <w:rFonts w:cs="Arial"/>
                <w:b/>
                <w:sz w:val="21"/>
                <w:szCs w:val="21"/>
              </w:rPr>
              <w:t>Survey Date:</w:t>
            </w:r>
            <w:r w:rsidR="00E0419F">
              <w:rPr>
                <w:rFonts w:cs="Arial"/>
                <w:b/>
                <w:sz w:val="21"/>
                <w:szCs w:val="21"/>
              </w:rPr>
              <w:t xml:space="preserve"> </w:t>
            </w:r>
            <w:r w:rsidR="002A6489">
              <w:rPr>
                <w:rFonts w:cs="Arial"/>
                <w:bCs/>
                <w:sz w:val="21"/>
                <w:szCs w:val="21"/>
              </w:rPr>
              <w:t>11 March 2022</w:t>
            </w:r>
          </w:p>
        </w:tc>
      </w:tr>
      <w:tr w:rsidR="00D00A0D" w:rsidRPr="00533CF2" w14:paraId="55B24944" w14:textId="77777777" w:rsidTr="00492AB4">
        <w:trPr>
          <w:trHeight w:val="397"/>
        </w:trPr>
        <w:tc>
          <w:tcPr>
            <w:tcW w:w="5495" w:type="dxa"/>
          </w:tcPr>
          <w:p w14:paraId="762FDA8F" w14:textId="3BF6939C" w:rsidR="00D00A0D" w:rsidRPr="00C343FC" w:rsidRDefault="00D00A0D" w:rsidP="00E0419F">
            <w:pPr>
              <w:rPr>
                <w:rFonts w:cs="Arial"/>
                <w:bCs/>
                <w:sz w:val="21"/>
                <w:szCs w:val="21"/>
              </w:rPr>
            </w:pPr>
            <w:r w:rsidRPr="00533CF2">
              <w:rPr>
                <w:rFonts w:cs="Arial"/>
                <w:b/>
                <w:sz w:val="21"/>
                <w:szCs w:val="21"/>
              </w:rPr>
              <w:t xml:space="preserve">Place Type: </w:t>
            </w:r>
            <w:r w:rsidR="00C343FC">
              <w:rPr>
                <w:rFonts w:cs="Arial"/>
                <w:bCs/>
                <w:sz w:val="21"/>
                <w:szCs w:val="21"/>
              </w:rPr>
              <w:t>Residential</w:t>
            </w:r>
          </w:p>
        </w:tc>
        <w:tc>
          <w:tcPr>
            <w:tcW w:w="3118" w:type="dxa"/>
          </w:tcPr>
          <w:p w14:paraId="24E08DF2" w14:textId="09D1D887" w:rsidR="00D00A0D" w:rsidRPr="00E0419F" w:rsidRDefault="0018048A" w:rsidP="00465000">
            <w:pPr>
              <w:rPr>
                <w:rFonts w:cs="Arial"/>
                <w:sz w:val="21"/>
                <w:szCs w:val="21"/>
              </w:rPr>
            </w:pPr>
            <w:r>
              <w:rPr>
                <w:rFonts w:cs="Arial"/>
                <w:b/>
                <w:sz w:val="21"/>
                <w:szCs w:val="21"/>
              </w:rPr>
              <w:t>Designer</w:t>
            </w:r>
            <w:r w:rsidR="00D00A0D" w:rsidRPr="00533CF2">
              <w:rPr>
                <w:rFonts w:cs="Arial"/>
                <w:b/>
                <w:sz w:val="21"/>
                <w:szCs w:val="21"/>
              </w:rPr>
              <w:t>:</w:t>
            </w:r>
            <w:r>
              <w:rPr>
                <w:rFonts w:cs="Arial"/>
                <w:b/>
                <w:sz w:val="21"/>
                <w:szCs w:val="21"/>
              </w:rPr>
              <w:t xml:space="preserve"> </w:t>
            </w:r>
            <w:r>
              <w:rPr>
                <w:rFonts w:cs="Arial"/>
                <w:bCs/>
                <w:sz w:val="21"/>
                <w:szCs w:val="21"/>
              </w:rPr>
              <w:t>Alistair Knox</w:t>
            </w:r>
            <w:r w:rsidR="00E0419F">
              <w:rPr>
                <w:rFonts w:cs="Arial"/>
                <w:b/>
                <w:sz w:val="21"/>
                <w:szCs w:val="21"/>
              </w:rPr>
              <w:t xml:space="preserve"> </w:t>
            </w:r>
          </w:p>
        </w:tc>
      </w:tr>
      <w:tr w:rsidR="00D00A0D" w:rsidRPr="00533CF2" w14:paraId="11DA50E0" w14:textId="77777777" w:rsidTr="00492AB4">
        <w:trPr>
          <w:trHeight w:val="397"/>
        </w:trPr>
        <w:tc>
          <w:tcPr>
            <w:tcW w:w="5495" w:type="dxa"/>
          </w:tcPr>
          <w:p w14:paraId="33B19311" w14:textId="691F58BA" w:rsidR="00D00A0D" w:rsidRPr="00580661" w:rsidRDefault="00D00A0D" w:rsidP="00E0419F">
            <w:pPr>
              <w:rPr>
                <w:rFonts w:cs="Arial"/>
                <w:sz w:val="21"/>
                <w:szCs w:val="21"/>
              </w:rPr>
            </w:pPr>
            <w:r w:rsidRPr="00533CF2">
              <w:rPr>
                <w:rFonts w:cs="Arial"/>
                <w:b/>
                <w:sz w:val="21"/>
                <w:szCs w:val="21"/>
              </w:rPr>
              <w:t>Grading:</w:t>
            </w:r>
            <w:r w:rsidR="00580661">
              <w:rPr>
                <w:rFonts w:cs="Arial"/>
                <w:b/>
                <w:sz w:val="21"/>
                <w:szCs w:val="21"/>
              </w:rPr>
              <w:t xml:space="preserve"> </w:t>
            </w:r>
            <w:r w:rsidR="0018048A" w:rsidRPr="0018048A">
              <w:rPr>
                <w:rFonts w:cs="Arial"/>
                <w:bCs/>
                <w:sz w:val="21"/>
                <w:szCs w:val="21"/>
              </w:rPr>
              <w:t>Individually Significant</w:t>
            </w:r>
          </w:p>
        </w:tc>
        <w:tc>
          <w:tcPr>
            <w:tcW w:w="3118" w:type="dxa"/>
          </w:tcPr>
          <w:p w14:paraId="3E63B317" w14:textId="02EBD854" w:rsidR="00D00A0D" w:rsidRPr="0018048A" w:rsidRDefault="00D00A0D" w:rsidP="00014192">
            <w:pPr>
              <w:rPr>
                <w:rFonts w:cs="Arial"/>
                <w:bCs/>
                <w:sz w:val="21"/>
                <w:szCs w:val="21"/>
              </w:rPr>
            </w:pPr>
            <w:r w:rsidRPr="00533CF2">
              <w:rPr>
                <w:rFonts w:cs="Arial"/>
                <w:b/>
                <w:sz w:val="21"/>
                <w:szCs w:val="21"/>
              </w:rPr>
              <w:t>Builder:</w:t>
            </w:r>
            <w:r w:rsidR="00B9734A">
              <w:rPr>
                <w:rFonts w:cs="Arial"/>
                <w:b/>
                <w:sz w:val="21"/>
                <w:szCs w:val="21"/>
              </w:rPr>
              <w:t xml:space="preserve"> </w:t>
            </w:r>
            <w:r w:rsidR="0018048A">
              <w:rPr>
                <w:rFonts w:cs="Arial"/>
                <w:bCs/>
                <w:sz w:val="21"/>
                <w:szCs w:val="21"/>
              </w:rPr>
              <w:t>Alistair Knox</w:t>
            </w:r>
          </w:p>
        </w:tc>
      </w:tr>
      <w:tr w:rsidR="00D00A0D" w:rsidRPr="00533CF2" w14:paraId="44683571" w14:textId="77777777" w:rsidTr="00492AB4">
        <w:trPr>
          <w:trHeight w:val="397"/>
        </w:trPr>
        <w:tc>
          <w:tcPr>
            <w:tcW w:w="5495" w:type="dxa"/>
          </w:tcPr>
          <w:p w14:paraId="7F5D5AD7" w14:textId="02E71FF0" w:rsidR="00D00A0D" w:rsidRPr="0018048A" w:rsidRDefault="00D00A0D" w:rsidP="0053253F">
            <w:pPr>
              <w:rPr>
                <w:rFonts w:cs="Arial"/>
                <w:bCs/>
                <w:sz w:val="21"/>
                <w:szCs w:val="21"/>
              </w:rPr>
            </w:pPr>
            <w:r w:rsidRPr="00533CF2">
              <w:rPr>
                <w:rFonts w:cs="Arial"/>
                <w:b/>
                <w:sz w:val="21"/>
                <w:szCs w:val="21"/>
              </w:rPr>
              <w:t xml:space="preserve">Extent of Overlay: </w:t>
            </w:r>
            <w:r w:rsidR="0018048A">
              <w:rPr>
                <w:rFonts w:cs="Arial"/>
                <w:bCs/>
                <w:sz w:val="21"/>
                <w:szCs w:val="21"/>
              </w:rPr>
              <w:t>To title boundaries</w:t>
            </w:r>
          </w:p>
        </w:tc>
        <w:tc>
          <w:tcPr>
            <w:tcW w:w="3118" w:type="dxa"/>
          </w:tcPr>
          <w:p w14:paraId="3B72F686" w14:textId="74F1EEE9" w:rsidR="00D00A0D" w:rsidRPr="00E0419F" w:rsidRDefault="00D00A0D" w:rsidP="00465000">
            <w:pPr>
              <w:rPr>
                <w:rFonts w:cs="Arial"/>
                <w:sz w:val="21"/>
                <w:szCs w:val="21"/>
              </w:rPr>
            </w:pPr>
            <w:r w:rsidRPr="00533CF2">
              <w:rPr>
                <w:rFonts w:cs="Arial"/>
                <w:b/>
                <w:sz w:val="21"/>
                <w:szCs w:val="21"/>
              </w:rPr>
              <w:t>Construction Date:</w:t>
            </w:r>
            <w:r w:rsidR="00B9734A">
              <w:rPr>
                <w:rFonts w:cs="Arial"/>
                <w:b/>
                <w:sz w:val="21"/>
                <w:szCs w:val="21"/>
              </w:rPr>
              <w:t xml:space="preserve"> </w:t>
            </w:r>
            <w:r w:rsidR="00FF1C71" w:rsidRPr="00FF1C71">
              <w:rPr>
                <w:rFonts w:cs="Arial"/>
                <w:bCs/>
                <w:sz w:val="21"/>
                <w:szCs w:val="21"/>
              </w:rPr>
              <w:t>1968</w:t>
            </w:r>
          </w:p>
        </w:tc>
      </w:tr>
    </w:tbl>
    <w:p w14:paraId="0FBA6BFB" w14:textId="77777777" w:rsidR="00F0333B" w:rsidRPr="00533CF2" w:rsidRDefault="00F0333B" w:rsidP="0053253F">
      <w:pPr>
        <w:rPr>
          <w:rFonts w:cs="Arial"/>
          <w:sz w:val="21"/>
          <w:szCs w:val="21"/>
        </w:rPr>
      </w:pPr>
    </w:p>
    <w:p w14:paraId="7DCD23D1" w14:textId="4ACD11FD" w:rsidR="004004A2" w:rsidRPr="00D355A0" w:rsidRDefault="00FF13B9" w:rsidP="00297849">
      <w:pPr>
        <w:jc w:val="center"/>
        <w:rPr>
          <w:rFonts w:cs="Arial"/>
          <w:sz w:val="21"/>
          <w:szCs w:val="21"/>
        </w:rPr>
      </w:pPr>
      <w:r>
        <w:rPr>
          <w:noProof/>
          <w:lang w:eastAsia="en-AU"/>
        </w:rPr>
        <w:drawing>
          <wp:inline distT="0" distB="0" distL="0" distR="0" wp14:anchorId="0E880432" wp14:editId="7B5216DA">
            <wp:extent cx="5438633" cy="3291840"/>
            <wp:effectExtent l="0" t="0" r="0" b="3810"/>
            <wp:docPr id="1" name="Picture 1" descr="A dirt road leading to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rt road leading to a building&#10;&#10;Description automatically generated with low confidence"/>
                    <pic:cNvPicPr/>
                  </pic:nvPicPr>
                  <pic:blipFill>
                    <a:blip r:embed="rId11"/>
                    <a:stretch>
                      <a:fillRect/>
                    </a:stretch>
                  </pic:blipFill>
                  <pic:spPr>
                    <a:xfrm>
                      <a:off x="0" y="0"/>
                      <a:ext cx="5440748" cy="3293120"/>
                    </a:xfrm>
                    <a:prstGeom prst="rect">
                      <a:avLst/>
                    </a:prstGeom>
                  </pic:spPr>
                </pic:pic>
              </a:graphicData>
            </a:graphic>
          </wp:inline>
        </w:drawing>
      </w:r>
      <w:bookmarkStart w:id="0" w:name="_GoBack"/>
      <w:bookmarkEnd w:id="0"/>
    </w:p>
    <w:p w14:paraId="41E40C80" w14:textId="77777777" w:rsidR="003D39C2" w:rsidRDefault="003D39C2" w:rsidP="00014192">
      <w:pPr>
        <w:rPr>
          <w:rFonts w:cs="Arial"/>
          <w:sz w:val="18"/>
          <w:szCs w:val="18"/>
        </w:rPr>
      </w:pPr>
    </w:p>
    <w:p w14:paraId="64C062D7" w14:textId="77777777" w:rsidR="003D39C2" w:rsidRPr="003D39C2" w:rsidRDefault="003D39C2" w:rsidP="00014192">
      <w:pPr>
        <w:rPr>
          <w:rFonts w:cs="Arial"/>
          <w:sz w:val="18"/>
          <w:szCs w:val="18"/>
        </w:rPr>
      </w:pPr>
    </w:p>
    <w:p w14:paraId="439CB1DD" w14:textId="77777777" w:rsidR="00014192" w:rsidRPr="00533CF2" w:rsidRDefault="00014192" w:rsidP="00014192">
      <w:pPr>
        <w:rPr>
          <w:rFonts w:cs="Arial"/>
          <w:b/>
          <w:sz w:val="21"/>
          <w:szCs w:val="21"/>
        </w:rPr>
      </w:pPr>
      <w:r w:rsidRPr="00533CF2">
        <w:rPr>
          <w:rFonts w:cs="Arial"/>
          <w:b/>
          <w:sz w:val="21"/>
          <w:szCs w:val="21"/>
        </w:rPr>
        <w:t>Historical Context</w:t>
      </w:r>
    </w:p>
    <w:p w14:paraId="6D604A5E" w14:textId="77777777" w:rsidR="00E0419F" w:rsidRDefault="00E0419F" w:rsidP="0053253F">
      <w:pPr>
        <w:rPr>
          <w:rFonts w:cs="Arial"/>
          <w:b/>
          <w:sz w:val="21"/>
          <w:szCs w:val="21"/>
        </w:rPr>
      </w:pPr>
    </w:p>
    <w:p w14:paraId="2012510C" w14:textId="4FA0ED7E" w:rsidR="31AA876C" w:rsidRPr="00001F63" w:rsidRDefault="31AA876C" w:rsidP="31AA876C">
      <w:pPr>
        <w:rPr>
          <w:rFonts w:eastAsia="Arial" w:cs="Arial"/>
          <w:color w:val="000000" w:themeColor="text1"/>
          <w:sz w:val="21"/>
          <w:szCs w:val="21"/>
          <w:lang w:val="en-US"/>
        </w:rPr>
      </w:pPr>
      <w:r w:rsidRPr="31AA876C">
        <w:rPr>
          <w:rFonts w:eastAsia="Arial" w:cs="Arial"/>
          <w:color w:val="000000" w:themeColor="text1"/>
          <w:sz w:val="21"/>
          <w:szCs w:val="21"/>
        </w:rPr>
        <w:t xml:space="preserve">Eltham, situated in hilly country northeast of Melbourne, is located on the country of the Wurundjeriwillam clan of the Woi wurrung, one of the five tribes of the Kulin Nation.  A plan for fifty allotments in the Township of Eltham, Parish of Nillumbik, was announced in 1848, with the name officially gazetted in 1851. The township, near the junction of the Diamond Creek and the Yarra River, was laid out an area bounded by Baxter Street, Diamond Creek, Dalton Street and Bolton Street.  This area is known today as Eltham South. Present-day Eltham, however, was not established on the township reserve, where land proved difficult to sell. Instead, the town grew from allotments in Section IV of the Parish of Nillumbik located on Main Road, to the north of Dalton Street and the township reserve (Butler 1996:32). The township grew during the 1850s around a cluster of buildings at the corner of Pitt Street and Main Road within the Little Eltham subdivision. Located on the road to the Caledonian Diggings, this small township became a service centre for the surrounding mining areas, and by 1854 supported a population of 282. In this period Eltham had two hotels, a brewery and tannery on Diamond Creek. Several public buildings and institutions, including a police station, Wesleyan chapel, a Church of England School and a National School, were established in the 1850s -70s (Context, 2020:1). </w:t>
      </w:r>
    </w:p>
    <w:p w14:paraId="20EF878D" w14:textId="0290580A" w:rsidR="31AA876C" w:rsidRPr="00001F63" w:rsidRDefault="31AA876C" w:rsidP="31AA876C">
      <w:pPr>
        <w:rPr>
          <w:rFonts w:eastAsia="Arial" w:cs="Arial"/>
          <w:color w:val="000000" w:themeColor="text1"/>
          <w:sz w:val="21"/>
          <w:szCs w:val="21"/>
          <w:lang w:val="en-US"/>
        </w:rPr>
      </w:pPr>
      <w:r w:rsidRPr="31AA876C">
        <w:rPr>
          <w:rFonts w:eastAsia="Arial" w:cs="Arial"/>
          <w:color w:val="000000" w:themeColor="text1"/>
          <w:sz w:val="21"/>
          <w:szCs w:val="21"/>
        </w:rPr>
        <w:lastRenderedPageBreak/>
        <w:t xml:space="preserve"> </w:t>
      </w:r>
    </w:p>
    <w:p w14:paraId="4C3F0189" w14:textId="20315A42" w:rsidR="31AA876C" w:rsidRPr="00001F63" w:rsidRDefault="31AA876C" w:rsidP="31AA876C">
      <w:pPr>
        <w:rPr>
          <w:rFonts w:eastAsia="Arial" w:cs="Arial"/>
          <w:color w:val="000000" w:themeColor="text1"/>
          <w:sz w:val="21"/>
          <w:szCs w:val="21"/>
          <w:lang w:val="en-US"/>
        </w:rPr>
      </w:pPr>
      <w:r w:rsidRPr="31AA876C">
        <w:rPr>
          <w:rFonts w:eastAsia="Arial" w:cs="Arial"/>
          <w:color w:val="000000" w:themeColor="text1"/>
          <w:sz w:val="21"/>
          <w:szCs w:val="21"/>
        </w:rPr>
        <w:t>Between the 1860s and the 1880s, Eltham supplied food and produce for the gold-mining communities of the Caledonian Diggings at Queenstown (St Andrews) and Panton Hill. It also became a stopping place on route to the Woods Point diggings. Eltham’s population grew in response. In 1871, the town’s population was 165 and by 1881 this had increased to 388 (Victorian Places 2015). Several large properties surrounding the township had absentee owners, who subdivided their properties into smaller farms either for lease or sale. The smaller properties, especially in the Little Eltham township, were run by farmers who often made a modest living as wage labourers. Like many later Eltham residents, they were attracted by cheap land and the country life (Butler 1996:33).</w:t>
      </w:r>
    </w:p>
    <w:p w14:paraId="3561F5D6" w14:textId="6931DDCE" w:rsidR="31AA876C" w:rsidRPr="00001F63" w:rsidRDefault="31AA876C" w:rsidP="31AA876C">
      <w:pPr>
        <w:rPr>
          <w:rFonts w:eastAsia="Arial" w:cs="Arial"/>
          <w:color w:val="000000" w:themeColor="text1"/>
          <w:sz w:val="21"/>
          <w:szCs w:val="21"/>
          <w:lang w:val="en-US"/>
        </w:rPr>
      </w:pPr>
      <w:r w:rsidRPr="31AA876C">
        <w:rPr>
          <w:rFonts w:eastAsia="Arial" w:cs="Arial"/>
          <w:color w:val="000000" w:themeColor="text1"/>
          <w:sz w:val="21"/>
          <w:szCs w:val="21"/>
        </w:rPr>
        <w:t xml:space="preserve"> </w:t>
      </w:r>
    </w:p>
    <w:p w14:paraId="5BC2C06C" w14:textId="455A74C7" w:rsidR="31AA876C" w:rsidRPr="00001F63" w:rsidRDefault="31AA876C" w:rsidP="31AA876C">
      <w:pPr>
        <w:rPr>
          <w:rFonts w:eastAsia="Arial" w:cs="Arial"/>
          <w:color w:val="000000" w:themeColor="text1"/>
          <w:sz w:val="21"/>
          <w:szCs w:val="21"/>
          <w:lang w:val="en-US"/>
        </w:rPr>
      </w:pPr>
      <w:r w:rsidRPr="31AA876C">
        <w:rPr>
          <w:rFonts w:eastAsia="Arial" w:cs="Arial"/>
          <w:color w:val="000000" w:themeColor="text1"/>
          <w:sz w:val="21"/>
          <w:szCs w:val="21"/>
        </w:rPr>
        <w:t xml:space="preserve">The railway was extended to Eltham opened in 1902, which brought excursionists from Melbourne, many of whom picked wattle during the flowering season, and focused development of the Eltham township around the railway station. Eltham was a picturesque village with the advantage of its proximity to metropolitan Melbourne as well as to attractive countryside with farms and uncleared stringybark forest (Victorian Places 2015). The attractive bush scenery attracted artists, writers and nature-lovers. The landscape painter Walter Withers (1854-1914) moved to Eltham in 1902 when the railway opened; others artists, including members of the Heidelberg School, painted in the area in the open air. Clara Southern and May Vale, landscape painters and students of Frederick McCubbin, settled in the region. Vale resided at Diamond Creek and Southern at Warrandyte (Bartolomei 2008). The war artist Will Longstaff also lived in Eltham for a period. Artist Justus Jorgensen established the notable Montsalvat artist’s colony buildings, on land he purchased in 1934. Seeking a closer engagement with the natural environment, the establishment of Montsalvat, with its adobe and rammed earth buildings, influenced future mud brick construction in the area. Several local architects and designers, including Alistair Knox, specialised in mud brick housing in the </w:t>
      </w:r>
      <w:r w:rsidR="0046635E" w:rsidRPr="31AA876C">
        <w:rPr>
          <w:rFonts w:eastAsia="Arial" w:cs="Arial"/>
          <w:color w:val="000000" w:themeColor="text1"/>
          <w:sz w:val="21"/>
          <w:szCs w:val="21"/>
        </w:rPr>
        <w:t>post-war</w:t>
      </w:r>
      <w:r w:rsidRPr="31AA876C">
        <w:rPr>
          <w:rFonts w:eastAsia="Arial" w:cs="Arial"/>
          <w:color w:val="000000" w:themeColor="text1"/>
          <w:sz w:val="21"/>
          <w:szCs w:val="21"/>
        </w:rPr>
        <w:t xml:space="preserve"> period (Victorian Places 2015). Others who have been inspired by Eltham and have made the region their home include landscape architect Edna Walling, authors Alan Marshall and Carolyn Van Langenberg, artists Clifton Pugh and Danila Vassilieff; composers and musicians Graeme and Roger Bell; jewellers and sculptors Michael Wilson, Simon Icarus Baigent and Matcham Skipper; writer CB Christensen; poet Chris Wallace-Crabbe; and actress Kerry Armstrong (Bartolomei 2008; Pierce 1987:354).</w:t>
      </w:r>
    </w:p>
    <w:p w14:paraId="7183603D" w14:textId="5C2EE58C" w:rsidR="31AA876C" w:rsidRPr="00001F63" w:rsidRDefault="31AA876C" w:rsidP="31AA876C">
      <w:pPr>
        <w:rPr>
          <w:rFonts w:eastAsia="Arial" w:cs="Arial"/>
          <w:color w:val="000000" w:themeColor="text1"/>
          <w:sz w:val="21"/>
          <w:szCs w:val="21"/>
          <w:lang w:val="en-US"/>
        </w:rPr>
      </w:pPr>
      <w:r w:rsidRPr="31AA876C">
        <w:rPr>
          <w:rFonts w:eastAsia="Arial" w:cs="Arial"/>
          <w:color w:val="000000" w:themeColor="text1"/>
          <w:sz w:val="21"/>
          <w:szCs w:val="21"/>
        </w:rPr>
        <w:t xml:space="preserve"> </w:t>
      </w:r>
    </w:p>
    <w:p w14:paraId="4C02E982" w14:textId="4277B72E" w:rsidR="31AA876C" w:rsidRPr="00001F63" w:rsidRDefault="31AA876C" w:rsidP="31AA876C">
      <w:pPr>
        <w:rPr>
          <w:rFonts w:eastAsia="Arial" w:cs="Arial"/>
          <w:color w:val="000000" w:themeColor="text1"/>
          <w:sz w:val="21"/>
          <w:szCs w:val="21"/>
          <w:lang w:val="en-US"/>
        </w:rPr>
      </w:pPr>
      <w:r w:rsidRPr="31AA876C">
        <w:rPr>
          <w:rFonts w:eastAsia="Arial" w:cs="Arial"/>
          <w:color w:val="000000" w:themeColor="text1"/>
          <w:sz w:val="21"/>
          <w:szCs w:val="21"/>
        </w:rPr>
        <w:t xml:space="preserve">Eltham experienced significant </w:t>
      </w:r>
      <w:r w:rsidR="0046635E" w:rsidRPr="31AA876C">
        <w:rPr>
          <w:rFonts w:eastAsia="Arial" w:cs="Arial"/>
          <w:color w:val="000000" w:themeColor="text1"/>
          <w:sz w:val="21"/>
          <w:szCs w:val="21"/>
        </w:rPr>
        <w:t>post-war</w:t>
      </w:r>
      <w:r w:rsidRPr="31AA876C">
        <w:rPr>
          <w:rFonts w:eastAsia="Arial" w:cs="Arial"/>
          <w:color w:val="000000" w:themeColor="text1"/>
          <w:sz w:val="21"/>
          <w:szCs w:val="21"/>
        </w:rPr>
        <w:t xml:space="preserve"> development with a number of residential estates subdivided and put up for sale. The population of the town increased from 927 in 1933, to 1278 in 1947, to 7177 in 1971. As a result, Eltham High School opened in 1950 and the Catholic Ladies College was relocated to Eltham in 1971 (Victorian Places 2015). The Eltham War Memorial Trust Baby Health Centre opened in 1951. New shire offices opened in 1965, and Eltham College commenced classes in 1974 (Eltham District Historical Society 2000:np).</w:t>
      </w:r>
    </w:p>
    <w:p w14:paraId="1638CAC0" w14:textId="21571CD1" w:rsidR="31AA876C" w:rsidRPr="00001F63" w:rsidRDefault="31AA876C" w:rsidP="31AA876C">
      <w:pPr>
        <w:rPr>
          <w:rFonts w:eastAsia="Arial" w:cs="Arial"/>
          <w:color w:val="000000" w:themeColor="text1"/>
          <w:sz w:val="21"/>
          <w:szCs w:val="21"/>
          <w:lang w:val="en-US"/>
        </w:rPr>
      </w:pPr>
      <w:r w:rsidRPr="31AA876C">
        <w:rPr>
          <w:rFonts w:eastAsia="Arial" w:cs="Arial"/>
          <w:color w:val="000000" w:themeColor="text1"/>
          <w:sz w:val="21"/>
          <w:szCs w:val="21"/>
        </w:rPr>
        <w:t xml:space="preserve"> </w:t>
      </w:r>
    </w:p>
    <w:p w14:paraId="08B358A3" w14:textId="44A2538E" w:rsidR="31AA876C" w:rsidRPr="00001F63" w:rsidRDefault="31AA876C" w:rsidP="31AA876C">
      <w:pPr>
        <w:rPr>
          <w:rFonts w:eastAsia="Arial" w:cs="Arial"/>
          <w:color w:val="000000" w:themeColor="text1"/>
          <w:sz w:val="21"/>
          <w:szCs w:val="21"/>
          <w:lang w:val="en-US"/>
        </w:rPr>
      </w:pPr>
      <w:r w:rsidRPr="31AA876C">
        <w:rPr>
          <w:rFonts w:eastAsia="Arial" w:cs="Arial"/>
          <w:color w:val="000000" w:themeColor="text1"/>
          <w:sz w:val="21"/>
          <w:szCs w:val="21"/>
        </w:rPr>
        <w:t xml:space="preserve">A distinctive style in local building emerged in Eltham in the </w:t>
      </w:r>
      <w:r w:rsidR="0046635E" w:rsidRPr="31AA876C">
        <w:rPr>
          <w:rFonts w:eastAsia="Arial" w:cs="Arial"/>
          <w:color w:val="000000" w:themeColor="text1"/>
          <w:sz w:val="21"/>
          <w:szCs w:val="21"/>
        </w:rPr>
        <w:t>post-war</w:t>
      </w:r>
      <w:r w:rsidRPr="31AA876C">
        <w:rPr>
          <w:rFonts w:eastAsia="Arial" w:cs="Arial"/>
          <w:color w:val="000000" w:themeColor="text1"/>
          <w:sz w:val="21"/>
          <w:szCs w:val="21"/>
        </w:rPr>
        <w:t xml:space="preserve"> period, with a strong use of natural materials, low form structures, and an integration with the natural environment and the preference for bush gardens, especially after the 1970s. The Eltham Library, designed by architect Greg Burgess, was constructed in mud brick and recycled timbers and received the RAIA Institutional Architecture Award in 1995 (Bartolomei 2008). </w:t>
      </w:r>
    </w:p>
    <w:p w14:paraId="5574348D" w14:textId="1BB26B5C" w:rsidR="31AA876C" w:rsidRPr="00001F63" w:rsidRDefault="31AA876C" w:rsidP="31AA876C">
      <w:pPr>
        <w:rPr>
          <w:rFonts w:eastAsia="Arial" w:cs="Arial"/>
          <w:color w:val="000000" w:themeColor="text1"/>
          <w:sz w:val="21"/>
          <w:szCs w:val="21"/>
          <w:lang w:val="en-US"/>
        </w:rPr>
      </w:pPr>
      <w:r w:rsidRPr="31AA876C">
        <w:rPr>
          <w:rFonts w:eastAsia="Arial" w:cs="Arial"/>
          <w:color w:val="000000" w:themeColor="text1"/>
          <w:sz w:val="21"/>
          <w:szCs w:val="21"/>
        </w:rPr>
        <w:t xml:space="preserve"> </w:t>
      </w:r>
    </w:p>
    <w:p w14:paraId="74475CEB" w14:textId="0F0D0052" w:rsidR="31AA876C" w:rsidRPr="00001F63" w:rsidRDefault="31AA876C" w:rsidP="31AA876C">
      <w:pPr>
        <w:rPr>
          <w:rFonts w:eastAsia="Arial" w:cs="Arial"/>
          <w:color w:val="000000" w:themeColor="text1"/>
          <w:sz w:val="21"/>
          <w:szCs w:val="21"/>
          <w:lang w:val="en-US"/>
        </w:rPr>
      </w:pPr>
      <w:r w:rsidRPr="31AA876C">
        <w:rPr>
          <w:rFonts w:eastAsia="Arial" w:cs="Arial"/>
          <w:color w:val="000000" w:themeColor="text1"/>
          <w:sz w:val="21"/>
          <w:szCs w:val="21"/>
        </w:rPr>
        <w:t>The Shire of Eltham became part of the Shire of Nillumbik in 1994, with a small area becoming part of the City of Banyule.</w:t>
      </w:r>
    </w:p>
    <w:p w14:paraId="3C94F3BE" w14:textId="3B1FE3D9" w:rsidR="31AA876C" w:rsidRDefault="31AA876C" w:rsidP="31AA876C">
      <w:pPr>
        <w:rPr>
          <w:sz w:val="21"/>
          <w:szCs w:val="21"/>
        </w:rPr>
      </w:pPr>
    </w:p>
    <w:p w14:paraId="72719C00" w14:textId="77777777" w:rsidR="001612CB" w:rsidRPr="00533CF2" w:rsidRDefault="001612CB" w:rsidP="0053253F">
      <w:pPr>
        <w:rPr>
          <w:rFonts w:cs="Arial"/>
          <w:b/>
          <w:sz w:val="21"/>
          <w:szCs w:val="21"/>
        </w:rPr>
      </w:pPr>
    </w:p>
    <w:p w14:paraId="0F4D836C" w14:textId="77777777" w:rsidR="00F0333B" w:rsidRDefault="00F0333B" w:rsidP="0053253F">
      <w:pPr>
        <w:rPr>
          <w:rFonts w:cs="Arial"/>
          <w:b/>
          <w:sz w:val="21"/>
          <w:szCs w:val="21"/>
        </w:rPr>
      </w:pPr>
      <w:r w:rsidRPr="00533CF2">
        <w:rPr>
          <w:rFonts w:cs="Arial"/>
          <w:b/>
          <w:sz w:val="21"/>
          <w:szCs w:val="21"/>
        </w:rPr>
        <w:t>History</w:t>
      </w:r>
    </w:p>
    <w:p w14:paraId="2BB781A7" w14:textId="29D1FA0E" w:rsidR="00B435E4" w:rsidRDefault="00B435E4" w:rsidP="00335ECB">
      <w:pPr>
        <w:rPr>
          <w:rFonts w:cs="Arial"/>
          <w:sz w:val="21"/>
          <w:szCs w:val="21"/>
        </w:rPr>
      </w:pPr>
    </w:p>
    <w:p w14:paraId="35DE1732" w14:textId="7A7BAE53" w:rsidR="009D2F20" w:rsidRDefault="009D2F20" w:rsidP="00335ECB">
      <w:pPr>
        <w:rPr>
          <w:rFonts w:cs="Arial"/>
          <w:sz w:val="21"/>
          <w:szCs w:val="21"/>
        </w:rPr>
      </w:pPr>
      <w:r>
        <w:rPr>
          <w:rFonts w:cs="Arial"/>
          <w:sz w:val="21"/>
          <w:szCs w:val="21"/>
        </w:rPr>
        <w:t xml:space="preserve">Riverbend was designed in 1968 by Alistair Knox, for </w:t>
      </w:r>
      <w:r w:rsidR="003A026D">
        <w:rPr>
          <w:rFonts w:cs="Arial"/>
          <w:sz w:val="21"/>
          <w:szCs w:val="21"/>
        </w:rPr>
        <w:t>R</w:t>
      </w:r>
      <w:r>
        <w:rPr>
          <w:rFonts w:cs="Arial"/>
          <w:sz w:val="21"/>
          <w:szCs w:val="21"/>
        </w:rPr>
        <w:t>osemary and Bill Cu</w:t>
      </w:r>
      <w:r w:rsidR="007319DE">
        <w:rPr>
          <w:rFonts w:cs="Arial"/>
          <w:sz w:val="21"/>
          <w:szCs w:val="21"/>
        </w:rPr>
        <w:t>ming</w:t>
      </w:r>
      <w:r w:rsidR="008043D5">
        <w:rPr>
          <w:rFonts w:cs="Arial"/>
          <w:sz w:val="21"/>
          <w:szCs w:val="21"/>
        </w:rPr>
        <w:t>, who had purchased the la</w:t>
      </w:r>
      <w:r w:rsidR="004B2960">
        <w:rPr>
          <w:rFonts w:cs="Arial"/>
          <w:sz w:val="21"/>
          <w:szCs w:val="21"/>
        </w:rPr>
        <w:t>nd not long before</w:t>
      </w:r>
      <w:r w:rsidR="00875CA6">
        <w:rPr>
          <w:rFonts w:cs="Arial"/>
          <w:sz w:val="21"/>
          <w:szCs w:val="21"/>
        </w:rPr>
        <w:t xml:space="preserve"> (</w:t>
      </w:r>
      <w:r w:rsidR="00DC0581">
        <w:rPr>
          <w:rFonts w:cs="Arial"/>
          <w:sz w:val="21"/>
          <w:szCs w:val="21"/>
        </w:rPr>
        <w:t xml:space="preserve">Woollard 2016:226; </w:t>
      </w:r>
      <w:r w:rsidR="00DC0581">
        <w:rPr>
          <w:rFonts w:cs="Arial"/>
          <w:sz w:val="21"/>
          <w:szCs w:val="21"/>
        </w:rPr>
        <w:fldChar w:fldCharType="begin"/>
      </w:r>
      <w:r w:rsidR="00DC0581">
        <w:rPr>
          <w:rFonts w:cs="Arial"/>
          <w:sz w:val="21"/>
          <w:szCs w:val="21"/>
        </w:rPr>
        <w:instrText xml:space="preserve"> REF _Ref99705835 \h </w:instrText>
      </w:r>
      <w:r w:rsidR="00DC0581">
        <w:rPr>
          <w:rFonts w:cs="Arial"/>
          <w:sz w:val="21"/>
          <w:szCs w:val="21"/>
        </w:rPr>
      </w:r>
      <w:r w:rsidR="00DC0581">
        <w:rPr>
          <w:rFonts w:cs="Arial"/>
          <w:sz w:val="21"/>
          <w:szCs w:val="21"/>
        </w:rPr>
        <w:fldChar w:fldCharType="separate"/>
      </w:r>
      <w:r w:rsidR="00DC0581" w:rsidRPr="00572422">
        <w:rPr>
          <w:iCs/>
        </w:rPr>
        <w:t xml:space="preserve">Figure </w:t>
      </w:r>
      <w:r w:rsidR="00DC0581" w:rsidRPr="00572422">
        <w:rPr>
          <w:iCs/>
          <w:noProof/>
        </w:rPr>
        <w:t>1</w:t>
      </w:r>
      <w:r w:rsidR="00DC0581">
        <w:rPr>
          <w:rFonts w:cs="Arial"/>
          <w:sz w:val="21"/>
          <w:szCs w:val="21"/>
        </w:rPr>
        <w:fldChar w:fldCharType="end"/>
      </w:r>
      <w:r w:rsidR="00DC0581">
        <w:rPr>
          <w:rFonts w:cs="Arial"/>
          <w:sz w:val="21"/>
          <w:szCs w:val="21"/>
        </w:rPr>
        <w:t>)</w:t>
      </w:r>
      <w:r w:rsidR="004B2960">
        <w:rPr>
          <w:rFonts w:cs="Arial"/>
          <w:sz w:val="21"/>
          <w:szCs w:val="21"/>
        </w:rPr>
        <w:t xml:space="preserve">. </w:t>
      </w:r>
      <w:r w:rsidR="00182197">
        <w:rPr>
          <w:rFonts w:cs="Arial"/>
          <w:sz w:val="21"/>
          <w:szCs w:val="21"/>
        </w:rPr>
        <w:t xml:space="preserve">Bill Cuming was an </w:t>
      </w:r>
      <w:r w:rsidR="00182197">
        <w:rPr>
          <w:rFonts w:cs="Arial"/>
          <w:sz w:val="21"/>
          <w:szCs w:val="21"/>
        </w:rPr>
        <w:lastRenderedPageBreak/>
        <w:t xml:space="preserve">engineer, whose work had earlier taken him, Rosemary and their young family to Colmar in France. </w:t>
      </w:r>
      <w:r w:rsidR="0088190C">
        <w:rPr>
          <w:rFonts w:cs="Arial"/>
          <w:sz w:val="21"/>
          <w:szCs w:val="21"/>
        </w:rPr>
        <w:t xml:space="preserve">Following the construction of the home, Rosemary Cuming hand laid the brick </w:t>
      </w:r>
      <w:r w:rsidR="007057CB">
        <w:rPr>
          <w:rFonts w:cs="Arial"/>
          <w:sz w:val="21"/>
          <w:szCs w:val="21"/>
        </w:rPr>
        <w:t>paving in a distinctive shell pattern based on paving she had seen in Colmar</w:t>
      </w:r>
      <w:r w:rsidR="00E43CDA">
        <w:rPr>
          <w:rFonts w:cs="Arial"/>
          <w:sz w:val="21"/>
          <w:szCs w:val="21"/>
        </w:rPr>
        <w:t xml:space="preserve"> (Woollard 2016:</w:t>
      </w:r>
      <w:r w:rsidR="0059605C">
        <w:rPr>
          <w:rFonts w:cs="Arial"/>
          <w:sz w:val="21"/>
          <w:szCs w:val="21"/>
        </w:rPr>
        <w:t xml:space="preserve">226). </w:t>
      </w:r>
      <w:r w:rsidR="004F296F">
        <w:rPr>
          <w:rFonts w:cs="Arial"/>
          <w:sz w:val="21"/>
          <w:szCs w:val="21"/>
        </w:rPr>
        <w:t>Other landscaping elements, including the stone bench and stairs, evidently made from salvaged building parts, date to the Cuming’s time. T</w:t>
      </w:r>
      <w:r w:rsidR="0059605C">
        <w:rPr>
          <w:rFonts w:cs="Arial"/>
          <w:sz w:val="21"/>
          <w:szCs w:val="21"/>
        </w:rPr>
        <w:t xml:space="preserve">he </w:t>
      </w:r>
      <w:r w:rsidR="00C445B8">
        <w:rPr>
          <w:rFonts w:cs="Arial"/>
          <w:sz w:val="21"/>
          <w:szCs w:val="21"/>
        </w:rPr>
        <w:t xml:space="preserve">cast iron stove </w:t>
      </w:r>
      <w:r w:rsidR="004F296F">
        <w:rPr>
          <w:rFonts w:cs="Arial"/>
          <w:sz w:val="21"/>
          <w:szCs w:val="21"/>
        </w:rPr>
        <w:t>in the kitchen</w:t>
      </w:r>
      <w:r w:rsidR="00C445B8">
        <w:rPr>
          <w:rFonts w:cs="Arial"/>
          <w:sz w:val="21"/>
          <w:szCs w:val="21"/>
        </w:rPr>
        <w:t xml:space="preserve"> was brought to the site from Rosemary’s sister</w:t>
      </w:r>
      <w:r w:rsidR="00C7606D">
        <w:rPr>
          <w:rFonts w:cs="Arial"/>
          <w:sz w:val="21"/>
          <w:szCs w:val="21"/>
        </w:rPr>
        <w:t>’</w:t>
      </w:r>
      <w:r w:rsidR="00C445B8">
        <w:rPr>
          <w:rFonts w:cs="Arial"/>
          <w:sz w:val="21"/>
          <w:szCs w:val="21"/>
        </w:rPr>
        <w:t>s home in Wattletree Road, Armadale</w:t>
      </w:r>
      <w:r w:rsidR="004F296F">
        <w:rPr>
          <w:rFonts w:cs="Arial"/>
          <w:sz w:val="21"/>
          <w:szCs w:val="21"/>
        </w:rPr>
        <w:t xml:space="preserve"> (Woollard 2016:226).</w:t>
      </w:r>
      <w:r w:rsidR="002B2F18">
        <w:rPr>
          <w:rFonts w:cs="Arial"/>
          <w:sz w:val="21"/>
          <w:szCs w:val="21"/>
        </w:rPr>
        <w:t xml:space="preserve"> Bill and Rosemary </w:t>
      </w:r>
      <w:r w:rsidR="0015550C">
        <w:rPr>
          <w:rFonts w:cs="Arial"/>
          <w:sz w:val="21"/>
          <w:szCs w:val="21"/>
        </w:rPr>
        <w:t>later sold the site</w:t>
      </w:r>
      <w:r w:rsidR="00F92F83">
        <w:rPr>
          <w:rFonts w:cs="Arial"/>
          <w:sz w:val="21"/>
          <w:szCs w:val="21"/>
        </w:rPr>
        <w:t xml:space="preserve"> due their relocation to America. </w:t>
      </w:r>
    </w:p>
    <w:p w14:paraId="6B4C52B7" w14:textId="77777777" w:rsidR="00F92F83" w:rsidRDefault="00F92F83" w:rsidP="00335ECB">
      <w:pPr>
        <w:rPr>
          <w:rFonts w:cs="Arial"/>
          <w:sz w:val="21"/>
          <w:szCs w:val="21"/>
        </w:rPr>
      </w:pPr>
    </w:p>
    <w:p w14:paraId="06502DA5" w14:textId="5F4320A6" w:rsidR="00F81494" w:rsidRDefault="00F81494" w:rsidP="00335ECB">
      <w:pPr>
        <w:rPr>
          <w:rFonts w:cs="Arial"/>
          <w:sz w:val="21"/>
          <w:szCs w:val="21"/>
        </w:rPr>
      </w:pPr>
    </w:p>
    <w:p w14:paraId="4E125AB3" w14:textId="77777777" w:rsidR="00572422" w:rsidRDefault="00572422" w:rsidP="00335ECB">
      <w:pPr>
        <w:rPr>
          <w:rFonts w:cs="Arial"/>
          <w:sz w:val="21"/>
          <w:szCs w:val="21"/>
        </w:rPr>
      </w:pPr>
    </w:p>
    <w:p w14:paraId="2E910201" w14:textId="77777777" w:rsidR="00572422" w:rsidRPr="00001F63" w:rsidRDefault="00572422" w:rsidP="00572422">
      <w:pPr>
        <w:keepNext/>
        <w:rPr>
          <w:sz w:val="18"/>
          <w:szCs w:val="18"/>
        </w:rPr>
      </w:pPr>
      <w:r w:rsidRPr="00001F63">
        <w:rPr>
          <w:noProof/>
          <w:sz w:val="18"/>
          <w:szCs w:val="18"/>
          <w:lang w:eastAsia="en-AU"/>
        </w:rPr>
        <w:drawing>
          <wp:inline distT="0" distB="0" distL="0" distR="0" wp14:anchorId="7B6A3C01" wp14:editId="4833671B">
            <wp:extent cx="4680000" cy="3064452"/>
            <wp:effectExtent l="0" t="0" r="6350" b="3175"/>
            <wp:docPr id="4" name="Picture 4" descr="A person standing next to a brid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tanding next to a bridg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0000" cy="3064452"/>
                    </a:xfrm>
                    <a:prstGeom prst="rect">
                      <a:avLst/>
                    </a:prstGeom>
                    <a:noFill/>
                    <a:ln>
                      <a:noFill/>
                    </a:ln>
                  </pic:spPr>
                </pic:pic>
              </a:graphicData>
            </a:graphic>
          </wp:inline>
        </w:drawing>
      </w:r>
    </w:p>
    <w:p w14:paraId="5BA3D4B0" w14:textId="139203D0" w:rsidR="00572422" w:rsidRPr="00001F63" w:rsidRDefault="00572422" w:rsidP="00572422">
      <w:pPr>
        <w:pStyle w:val="Caption"/>
        <w:ind w:left="0"/>
        <w:jc w:val="both"/>
        <w:rPr>
          <w:rFonts w:ascii="Arial" w:hAnsi="Arial"/>
          <w:i w:val="0"/>
          <w:iCs/>
          <w:sz w:val="18"/>
          <w:szCs w:val="18"/>
        </w:rPr>
      </w:pPr>
      <w:bookmarkStart w:id="1" w:name="_Ref99705835"/>
      <w:r w:rsidRPr="00001F63">
        <w:rPr>
          <w:rFonts w:ascii="Arial" w:hAnsi="Arial"/>
          <w:i w:val="0"/>
          <w:iCs/>
          <w:sz w:val="18"/>
          <w:szCs w:val="18"/>
        </w:rPr>
        <w:t xml:space="preserve">Figure </w:t>
      </w:r>
      <w:r w:rsidRPr="00001F63">
        <w:rPr>
          <w:rFonts w:ascii="Arial" w:hAnsi="Arial"/>
          <w:i w:val="0"/>
          <w:iCs/>
          <w:sz w:val="18"/>
          <w:szCs w:val="18"/>
        </w:rPr>
        <w:fldChar w:fldCharType="begin"/>
      </w:r>
      <w:r w:rsidRPr="00001F63">
        <w:rPr>
          <w:rFonts w:ascii="Arial" w:hAnsi="Arial"/>
          <w:i w:val="0"/>
          <w:iCs/>
          <w:sz w:val="18"/>
          <w:szCs w:val="18"/>
        </w:rPr>
        <w:instrText xml:space="preserve"> SEQ Figure \* ARABIC </w:instrText>
      </w:r>
      <w:r w:rsidRPr="00001F63">
        <w:rPr>
          <w:rFonts w:ascii="Arial" w:hAnsi="Arial"/>
          <w:i w:val="0"/>
          <w:iCs/>
          <w:sz w:val="18"/>
          <w:szCs w:val="18"/>
        </w:rPr>
        <w:fldChar w:fldCharType="separate"/>
      </w:r>
      <w:r w:rsidR="00CA594F" w:rsidRPr="00001F63">
        <w:rPr>
          <w:rFonts w:ascii="Arial" w:hAnsi="Arial"/>
          <w:i w:val="0"/>
          <w:iCs/>
          <w:noProof/>
          <w:sz w:val="18"/>
          <w:szCs w:val="18"/>
        </w:rPr>
        <w:t>1</w:t>
      </w:r>
      <w:r w:rsidRPr="00001F63">
        <w:rPr>
          <w:rFonts w:ascii="Arial" w:hAnsi="Arial"/>
          <w:i w:val="0"/>
          <w:iCs/>
          <w:sz w:val="18"/>
          <w:szCs w:val="18"/>
        </w:rPr>
        <w:fldChar w:fldCharType="end"/>
      </w:r>
      <w:bookmarkEnd w:id="1"/>
      <w:r w:rsidRPr="00001F63">
        <w:rPr>
          <w:rFonts w:ascii="Arial" w:hAnsi="Arial"/>
          <w:i w:val="0"/>
          <w:iCs/>
          <w:sz w:val="18"/>
          <w:szCs w:val="18"/>
        </w:rPr>
        <w:t>:</w:t>
      </w:r>
      <w:r w:rsidR="009B6DFF" w:rsidRPr="00001F63">
        <w:rPr>
          <w:rFonts w:ascii="Arial" w:hAnsi="Arial"/>
          <w:i w:val="0"/>
          <w:iCs/>
          <w:sz w:val="18"/>
          <w:szCs w:val="18"/>
        </w:rPr>
        <w:t xml:space="preserve"> The house during construction</w:t>
      </w:r>
      <w:r w:rsidR="00DC0581" w:rsidRPr="00001F63">
        <w:rPr>
          <w:rFonts w:ascii="Arial" w:hAnsi="Arial"/>
          <w:i w:val="0"/>
          <w:iCs/>
          <w:sz w:val="18"/>
          <w:szCs w:val="18"/>
        </w:rPr>
        <w:t xml:space="preserve"> c1968</w:t>
      </w:r>
      <w:r w:rsidR="009B6DFF" w:rsidRPr="00001F63">
        <w:rPr>
          <w:rFonts w:ascii="Arial" w:hAnsi="Arial"/>
          <w:i w:val="0"/>
          <w:iCs/>
          <w:sz w:val="18"/>
          <w:szCs w:val="18"/>
        </w:rPr>
        <w:t xml:space="preserve">, showing its timber framing. Source: </w:t>
      </w:r>
      <w:r w:rsidR="00901C79" w:rsidRPr="00001F63">
        <w:rPr>
          <w:rFonts w:ascii="Arial" w:hAnsi="Arial"/>
          <w:i w:val="0"/>
          <w:iCs/>
          <w:sz w:val="18"/>
          <w:szCs w:val="18"/>
        </w:rPr>
        <w:t>Cuming family</w:t>
      </w:r>
      <w:r w:rsidR="009A7B73" w:rsidRPr="00001F63">
        <w:rPr>
          <w:rFonts w:ascii="Arial" w:hAnsi="Arial"/>
          <w:i w:val="0"/>
          <w:iCs/>
          <w:sz w:val="18"/>
          <w:szCs w:val="18"/>
        </w:rPr>
        <w:t xml:space="preserve">, </w:t>
      </w:r>
      <w:r w:rsidR="004E4453" w:rsidRPr="00001F63">
        <w:rPr>
          <w:rFonts w:ascii="Arial" w:hAnsi="Arial"/>
          <w:i w:val="0"/>
          <w:iCs/>
          <w:sz w:val="18"/>
          <w:szCs w:val="18"/>
        </w:rPr>
        <w:t>pers</w:t>
      </w:r>
      <w:r w:rsidR="009B6DFF" w:rsidRPr="00001F63">
        <w:rPr>
          <w:rFonts w:ascii="Arial" w:hAnsi="Arial"/>
          <w:i w:val="0"/>
          <w:iCs/>
          <w:sz w:val="18"/>
          <w:szCs w:val="18"/>
        </w:rPr>
        <w:t xml:space="preserve">. </w:t>
      </w:r>
      <w:r w:rsidR="009A7B73" w:rsidRPr="00001F63">
        <w:rPr>
          <w:rFonts w:ascii="Arial" w:hAnsi="Arial"/>
          <w:i w:val="0"/>
          <w:iCs/>
          <w:sz w:val="18"/>
          <w:szCs w:val="18"/>
        </w:rPr>
        <w:t xml:space="preserve">Comm., </w:t>
      </w:r>
      <w:r w:rsidR="00693B6F" w:rsidRPr="00001F63">
        <w:rPr>
          <w:rFonts w:ascii="Arial" w:hAnsi="Arial"/>
          <w:i w:val="0"/>
          <w:iCs/>
          <w:sz w:val="18"/>
          <w:szCs w:val="18"/>
        </w:rPr>
        <w:t>January 2022.</w:t>
      </w:r>
    </w:p>
    <w:p w14:paraId="59D572A3" w14:textId="77777777" w:rsidR="004A56CF" w:rsidRPr="004A56CF" w:rsidRDefault="004A56CF" w:rsidP="004A56CF">
      <w:pPr>
        <w:rPr>
          <w:lang w:eastAsia="en-AU"/>
        </w:rPr>
      </w:pPr>
    </w:p>
    <w:p w14:paraId="6C9AEA98" w14:textId="77777777" w:rsidR="00A02B1F" w:rsidRPr="00001F63" w:rsidRDefault="00A02B1F" w:rsidP="00A02B1F">
      <w:pPr>
        <w:keepNext/>
        <w:rPr>
          <w:sz w:val="18"/>
          <w:szCs w:val="18"/>
        </w:rPr>
      </w:pPr>
      <w:r w:rsidRPr="00001F63">
        <w:rPr>
          <w:noProof/>
          <w:sz w:val="18"/>
          <w:szCs w:val="18"/>
          <w:lang w:eastAsia="en-AU"/>
        </w:rPr>
        <w:lastRenderedPageBreak/>
        <w:drawing>
          <wp:inline distT="0" distB="0" distL="0" distR="0" wp14:anchorId="5F006344" wp14:editId="094CF99E">
            <wp:extent cx="4680000" cy="3140096"/>
            <wp:effectExtent l="0" t="0" r="6350" b="3175"/>
            <wp:docPr id="2" name="Picture 2" descr="A picture containing grass, outdoor, sky,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outdoor, sky, building&#10;&#10;Description automatically generated"/>
                    <pic:cNvPicPr/>
                  </pic:nvPicPr>
                  <pic:blipFill>
                    <a:blip r:embed="rId13"/>
                    <a:stretch>
                      <a:fillRect/>
                    </a:stretch>
                  </pic:blipFill>
                  <pic:spPr>
                    <a:xfrm>
                      <a:off x="0" y="0"/>
                      <a:ext cx="4680000" cy="3140096"/>
                    </a:xfrm>
                    <a:prstGeom prst="rect">
                      <a:avLst/>
                    </a:prstGeom>
                  </pic:spPr>
                </pic:pic>
              </a:graphicData>
            </a:graphic>
          </wp:inline>
        </w:drawing>
      </w:r>
    </w:p>
    <w:p w14:paraId="73011E67" w14:textId="373B94E9" w:rsidR="00BF7102" w:rsidRPr="00001F63" w:rsidRDefault="00A02B1F" w:rsidP="00BF7102">
      <w:pPr>
        <w:pStyle w:val="Caption"/>
        <w:ind w:left="0"/>
        <w:jc w:val="both"/>
        <w:rPr>
          <w:rFonts w:ascii="Arial" w:hAnsi="Arial"/>
          <w:i w:val="0"/>
          <w:iCs/>
          <w:sz w:val="18"/>
          <w:szCs w:val="18"/>
        </w:rPr>
      </w:pPr>
      <w:r w:rsidRPr="00001F63">
        <w:rPr>
          <w:rFonts w:ascii="Arial" w:hAnsi="Arial"/>
          <w:i w:val="0"/>
          <w:iCs/>
          <w:sz w:val="18"/>
          <w:szCs w:val="18"/>
        </w:rPr>
        <w:t xml:space="preserve">Figure </w:t>
      </w:r>
      <w:r w:rsidRPr="00001F63">
        <w:rPr>
          <w:rFonts w:ascii="Arial" w:hAnsi="Arial"/>
          <w:i w:val="0"/>
          <w:iCs/>
          <w:sz w:val="18"/>
          <w:szCs w:val="18"/>
        </w:rPr>
        <w:fldChar w:fldCharType="begin"/>
      </w:r>
      <w:r w:rsidRPr="00001F63">
        <w:rPr>
          <w:rFonts w:ascii="Arial" w:hAnsi="Arial"/>
          <w:i w:val="0"/>
          <w:iCs/>
          <w:sz w:val="18"/>
          <w:szCs w:val="18"/>
        </w:rPr>
        <w:instrText xml:space="preserve"> SEQ Figure \* ARABIC </w:instrText>
      </w:r>
      <w:r w:rsidRPr="00001F63">
        <w:rPr>
          <w:rFonts w:ascii="Arial" w:hAnsi="Arial"/>
          <w:i w:val="0"/>
          <w:iCs/>
          <w:sz w:val="18"/>
          <w:szCs w:val="18"/>
        </w:rPr>
        <w:fldChar w:fldCharType="separate"/>
      </w:r>
      <w:r w:rsidR="00CA594F" w:rsidRPr="00001F63">
        <w:rPr>
          <w:rFonts w:ascii="Arial" w:hAnsi="Arial"/>
          <w:i w:val="0"/>
          <w:iCs/>
          <w:noProof/>
          <w:sz w:val="18"/>
          <w:szCs w:val="18"/>
        </w:rPr>
        <w:t>2</w:t>
      </w:r>
      <w:r w:rsidRPr="00001F63">
        <w:rPr>
          <w:rFonts w:ascii="Arial" w:hAnsi="Arial"/>
          <w:i w:val="0"/>
          <w:iCs/>
          <w:sz w:val="18"/>
          <w:szCs w:val="18"/>
        </w:rPr>
        <w:fldChar w:fldCharType="end"/>
      </w:r>
      <w:r w:rsidRPr="00001F63">
        <w:rPr>
          <w:rFonts w:ascii="Arial" w:hAnsi="Arial"/>
          <w:i w:val="0"/>
          <w:iCs/>
          <w:sz w:val="18"/>
          <w:szCs w:val="18"/>
        </w:rPr>
        <w:t>:</w:t>
      </w:r>
      <w:r w:rsidR="009674F5" w:rsidRPr="00001F63">
        <w:rPr>
          <w:rFonts w:ascii="Arial" w:hAnsi="Arial"/>
          <w:i w:val="0"/>
          <w:iCs/>
          <w:sz w:val="18"/>
          <w:szCs w:val="18"/>
        </w:rPr>
        <w:t xml:space="preserve"> The house</w:t>
      </w:r>
      <w:r w:rsidR="003211AF" w:rsidRPr="00001F63">
        <w:rPr>
          <w:rFonts w:ascii="Arial" w:hAnsi="Arial"/>
          <w:i w:val="0"/>
          <w:iCs/>
          <w:sz w:val="18"/>
          <w:szCs w:val="18"/>
        </w:rPr>
        <w:t xml:space="preserve">, c1970, during the Cuming’s ownership. </w:t>
      </w:r>
      <w:r w:rsidR="00BF7102" w:rsidRPr="00001F63">
        <w:rPr>
          <w:rFonts w:ascii="Arial" w:hAnsi="Arial"/>
          <w:i w:val="0"/>
          <w:iCs/>
          <w:sz w:val="18"/>
          <w:szCs w:val="18"/>
        </w:rPr>
        <w:t>Note the stairs, paving and stone bench. Source: Cuming family, pers. Comm., January 2022.</w:t>
      </w:r>
    </w:p>
    <w:p w14:paraId="73933EE6" w14:textId="77777777" w:rsidR="00BF7102" w:rsidRDefault="00BF7102" w:rsidP="00E96B7D">
      <w:pPr>
        <w:rPr>
          <w:rFonts w:cs="Arial"/>
          <w:sz w:val="21"/>
          <w:szCs w:val="21"/>
        </w:rPr>
      </w:pPr>
    </w:p>
    <w:p w14:paraId="21E1D703" w14:textId="57B9CC4B" w:rsidR="00E96B7D" w:rsidRDefault="00E96B7D" w:rsidP="00E96B7D">
      <w:pPr>
        <w:rPr>
          <w:rFonts w:cs="Arial"/>
          <w:sz w:val="21"/>
          <w:szCs w:val="21"/>
        </w:rPr>
      </w:pPr>
      <w:r>
        <w:rPr>
          <w:rFonts w:cs="Arial"/>
          <w:sz w:val="21"/>
          <w:szCs w:val="21"/>
        </w:rPr>
        <w:t xml:space="preserve">Max and Tini Huygens, who had migrated with their family from The Netherlands following WWII, purchased the home in 1975. The family named the site Tilwinda, which was </w:t>
      </w:r>
      <w:r w:rsidR="00817F31">
        <w:rPr>
          <w:rFonts w:cs="Arial"/>
          <w:sz w:val="21"/>
          <w:szCs w:val="21"/>
        </w:rPr>
        <w:t>thought to have been</w:t>
      </w:r>
      <w:r>
        <w:rPr>
          <w:rFonts w:cs="Arial"/>
          <w:sz w:val="21"/>
          <w:szCs w:val="21"/>
        </w:rPr>
        <w:t xml:space="preserve"> derived from an Aboriginal word translated as ‘hole in a rock’ (Woollard 2016:227). Tini Huygens had been an Olympic high jumper and discus thrower for The Netherlands in 1936, while Max was an importer who brought, amongst other things, Sirena Tuna, La Gina tomatoes and Bisleri soft drinks to Australia through his business (Woollard 2016:227). The Huygens were responsible for further work on the house, including the construction of an open carport to the west, and a workshop to the east (Woollard 2016:228). Tini Huygens died in 1981, however Max stayed at the property until 2000 (Woollard 2016:230). </w:t>
      </w:r>
    </w:p>
    <w:p w14:paraId="70025784" w14:textId="77777777" w:rsidR="00E96B7D" w:rsidRDefault="00E96B7D" w:rsidP="00E96B7D">
      <w:pPr>
        <w:rPr>
          <w:rFonts w:cs="Arial"/>
          <w:sz w:val="21"/>
          <w:szCs w:val="21"/>
        </w:rPr>
      </w:pPr>
    </w:p>
    <w:p w14:paraId="24E46375" w14:textId="2060E30F" w:rsidR="00E96B7D" w:rsidRDefault="00E96B7D" w:rsidP="00E96B7D">
      <w:pPr>
        <w:rPr>
          <w:rFonts w:cs="Arial"/>
          <w:sz w:val="21"/>
          <w:szCs w:val="21"/>
        </w:rPr>
      </w:pPr>
      <w:r>
        <w:rPr>
          <w:rFonts w:cs="Arial"/>
          <w:sz w:val="21"/>
          <w:szCs w:val="21"/>
        </w:rPr>
        <w:t>The house was later sold to Parks Victoria. In 2008, the Laughing Waters Artist in Residency program</w:t>
      </w:r>
      <w:r w:rsidR="00E415E0">
        <w:rPr>
          <w:rFonts w:cs="Arial"/>
          <w:sz w:val="21"/>
          <w:szCs w:val="21"/>
        </w:rPr>
        <w:t xml:space="preserve"> began using the site as a retreat</w:t>
      </w:r>
      <w:r>
        <w:rPr>
          <w:rFonts w:cs="Arial"/>
          <w:sz w:val="21"/>
          <w:szCs w:val="21"/>
        </w:rPr>
        <w:t xml:space="preserve">. The open carport was removed in late 2021 following damage, and the house was restored </w:t>
      </w:r>
      <w:r w:rsidR="00E415E0">
        <w:rPr>
          <w:rFonts w:cs="Arial"/>
          <w:sz w:val="21"/>
          <w:szCs w:val="21"/>
        </w:rPr>
        <w:t>at</w:t>
      </w:r>
      <w:r>
        <w:rPr>
          <w:rFonts w:cs="Arial"/>
          <w:sz w:val="21"/>
          <w:szCs w:val="21"/>
        </w:rPr>
        <w:t xml:space="preserve"> the same </w:t>
      </w:r>
      <w:r w:rsidR="00E415E0">
        <w:rPr>
          <w:rFonts w:cs="Arial"/>
          <w:sz w:val="21"/>
          <w:szCs w:val="21"/>
        </w:rPr>
        <w:t>time</w:t>
      </w:r>
      <w:r>
        <w:rPr>
          <w:rFonts w:cs="Arial"/>
          <w:sz w:val="21"/>
          <w:szCs w:val="21"/>
        </w:rPr>
        <w:t xml:space="preserve"> </w:t>
      </w:r>
      <w:r w:rsidR="00E415E0">
        <w:rPr>
          <w:rFonts w:cs="Arial"/>
          <w:sz w:val="21"/>
          <w:szCs w:val="21"/>
        </w:rPr>
        <w:t>to</w:t>
      </w:r>
      <w:r>
        <w:rPr>
          <w:rFonts w:cs="Arial"/>
          <w:sz w:val="21"/>
          <w:szCs w:val="21"/>
        </w:rPr>
        <w:t xml:space="preserve"> further</w:t>
      </w:r>
      <w:r w:rsidR="00E415E0">
        <w:rPr>
          <w:rFonts w:cs="Arial"/>
          <w:sz w:val="21"/>
          <w:szCs w:val="21"/>
        </w:rPr>
        <w:t xml:space="preserve"> accommodate</w:t>
      </w:r>
      <w:r>
        <w:rPr>
          <w:rFonts w:cs="Arial"/>
          <w:sz w:val="21"/>
          <w:szCs w:val="21"/>
        </w:rPr>
        <w:t xml:space="preserve"> use by an artists’ residency program. </w:t>
      </w:r>
    </w:p>
    <w:p w14:paraId="20801EE2" w14:textId="5714294C" w:rsidR="00CA594F" w:rsidRDefault="00CA594F">
      <w:pPr>
        <w:overflowPunct/>
        <w:autoSpaceDE/>
        <w:autoSpaceDN/>
        <w:adjustRightInd/>
        <w:jc w:val="left"/>
        <w:textAlignment w:val="auto"/>
        <w:rPr>
          <w:rFonts w:cs="Arial"/>
          <w:b/>
          <w:sz w:val="21"/>
          <w:szCs w:val="21"/>
        </w:rPr>
      </w:pPr>
    </w:p>
    <w:p w14:paraId="3DC75B64" w14:textId="79969286" w:rsidR="00955B5A" w:rsidRDefault="00F0333B" w:rsidP="0053253F">
      <w:pPr>
        <w:rPr>
          <w:rFonts w:cs="Arial"/>
          <w:b/>
          <w:sz w:val="21"/>
          <w:szCs w:val="21"/>
        </w:rPr>
      </w:pPr>
      <w:r w:rsidRPr="00533CF2">
        <w:rPr>
          <w:rFonts w:cs="Arial"/>
          <w:b/>
          <w:sz w:val="21"/>
          <w:szCs w:val="21"/>
        </w:rPr>
        <w:t>Description &amp; Integrity</w:t>
      </w:r>
    </w:p>
    <w:p w14:paraId="2409ED43" w14:textId="6A9B4415" w:rsidR="004B3D4D" w:rsidRDefault="004B3D4D" w:rsidP="0053253F">
      <w:pPr>
        <w:rPr>
          <w:rFonts w:cs="Arial"/>
          <w:sz w:val="21"/>
          <w:szCs w:val="21"/>
        </w:rPr>
      </w:pPr>
    </w:p>
    <w:p w14:paraId="6BA8B912" w14:textId="292131A5" w:rsidR="00AB0B1F" w:rsidRDefault="00AB0B1F" w:rsidP="0053253F">
      <w:pPr>
        <w:rPr>
          <w:rFonts w:cs="Arial"/>
          <w:sz w:val="21"/>
          <w:szCs w:val="21"/>
        </w:rPr>
      </w:pPr>
      <w:r>
        <w:rPr>
          <w:rFonts w:cs="Arial"/>
          <w:sz w:val="21"/>
          <w:szCs w:val="21"/>
        </w:rPr>
        <w:t xml:space="preserve">130 Laughing Waters Road is located on the south side of the street, directly adjacent to the Yarra River. The site slopes down towards the river, with the house placed on a clearing in the land that provides an expansive view over the river and valley. The block is otherwise heavily vegetated. </w:t>
      </w:r>
    </w:p>
    <w:p w14:paraId="22C4CFE1" w14:textId="77777777" w:rsidR="00AB0B1F" w:rsidRDefault="00AB0B1F" w:rsidP="0053253F">
      <w:pPr>
        <w:rPr>
          <w:rFonts w:cs="Arial"/>
          <w:sz w:val="21"/>
          <w:szCs w:val="21"/>
        </w:rPr>
      </w:pPr>
    </w:p>
    <w:p w14:paraId="46D6E338" w14:textId="03067B4D" w:rsidR="00F80A3F" w:rsidRDefault="00BD2071" w:rsidP="00DC4E68">
      <w:pPr>
        <w:rPr>
          <w:rFonts w:cs="Arial"/>
          <w:sz w:val="21"/>
          <w:szCs w:val="21"/>
        </w:rPr>
      </w:pPr>
      <w:r>
        <w:rPr>
          <w:rFonts w:cs="Arial"/>
          <w:sz w:val="21"/>
          <w:szCs w:val="21"/>
        </w:rPr>
        <w:t xml:space="preserve">The house at 130 Laughing Waters Road, Eltham, is a </w:t>
      </w:r>
      <w:r w:rsidR="00B86CE2">
        <w:rPr>
          <w:rFonts w:cs="Arial"/>
          <w:sz w:val="21"/>
          <w:szCs w:val="21"/>
        </w:rPr>
        <w:t xml:space="preserve">modestly sized </w:t>
      </w:r>
      <w:r>
        <w:rPr>
          <w:rFonts w:cs="Arial"/>
          <w:sz w:val="21"/>
          <w:szCs w:val="21"/>
        </w:rPr>
        <w:t xml:space="preserve">single storey brick veneer </w:t>
      </w:r>
      <w:r w:rsidR="00B86CE2">
        <w:rPr>
          <w:rFonts w:cs="Arial"/>
          <w:sz w:val="21"/>
          <w:szCs w:val="21"/>
        </w:rPr>
        <w:t xml:space="preserve">building with flat, metal clad roof. The </w:t>
      </w:r>
      <w:r w:rsidR="0013475E">
        <w:rPr>
          <w:rFonts w:cs="Arial"/>
          <w:sz w:val="21"/>
          <w:szCs w:val="21"/>
        </w:rPr>
        <w:t xml:space="preserve">floorplan </w:t>
      </w:r>
      <w:r w:rsidR="0048749A">
        <w:rPr>
          <w:rFonts w:cs="Arial"/>
          <w:sz w:val="21"/>
          <w:szCs w:val="21"/>
        </w:rPr>
        <w:t xml:space="preserve">is arranged on an east-west axis, however </w:t>
      </w:r>
      <w:r w:rsidR="00D606AA">
        <w:rPr>
          <w:rFonts w:cs="Arial"/>
          <w:sz w:val="21"/>
          <w:szCs w:val="21"/>
        </w:rPr>
        <w:t xml:space="preserve">follows a slight curve, with </w:t>
      </w:r>
      <w:r w:rsidR="00E415E0">
        <w:rPr>
          <w:rFonts w:cs="Arial"/>
          <w:sz w:val="21"/>
          <w:szCs w:val="21"/>
        </w:rPr>
        <w:t xml:space="preserve">the concave </w:t>
      </w:r>
      <w:r w:rsidR="0048749A">
        <w:rPr>
          <w:rFonts w:cs="Arial"/>
          <w:sz w:val="21"/>
          <w:szCs w:val="21"/>
        </w:rPr>
        <w:t>of the curve to the north</w:t>
      </w:r>
      <w:r w:rsidR="007164F4">
        <w:rPr>
          <w:rFonts w:cs="Arial"/>
          <w:sz w:val="21"/>
          <w:szCs w:val="21"/>
        </w:rPr>
        <w:t xml:space="preserve"> </w:t>
      </w:r>
      <w:r w:rsidR="007164F4" w:rsidRPr="007164F4">
        <w:rPr>
          <w:rFonts w:cs="Arial"/>
          <w:sz w:val="21"/>
          <w:szCs w:val="21"/>
        </w:rPr>
        <w:t>(</w:t>
      </w:r>
      <w:r w:rsidR="007164F4" w:rsidRPr="007164F4">
        <w:rPr>
          <w:rFonts w:cs="Arial"/>
          <w:sz w:val="21"/>
          <w:szCs w:val="21"/>
        </w:rPr>
        <w:fldChar w:fldCharType="begin"/>
      </w:r>
      <w:r w:rsidR="007164F4" w:rsidRPr="007164F4">
        <w:rPr>
          <w:rFonts w:cs="Arial"/>
          <w:sz w:val="21"/>
          <w:szCs w:val="21"/>
        </w:rPr>
        <w:instrText xml:space="preserve"> REF _Ref99713296 \h  \* MERGEFORMAT </w:instrText>
      </w:r>
      <w:r w:rsidR="007164F4" w:rsidRPr="007164F4">
        <w:rPr>
          <w:rFonts w:cs="Arial"/>
          <w:sz w:val="21"/>
          <w:szCs w:val="21"/>
        </w:rPr>
      </w:r>
      <w:r w:rsidR="007164F4" w:rsidRPr="007164F4">
        <w:rPr>
          <w:rFonts w:cs="Arial"/>
          <w:sz w:val="21"/>
          <w:szCs w:val="21"/>
        </w:rPr>
        <w:fldChar w:fldCharType="separate"/>
      </w:r>
      <w:r w:rsidR="007164F4" w:rsidRPr="007164F4">
        <w:rPr>
          <w:rFonts w:cs="Arial"/>
        </w:rPr>
        <w:t xml:space="preserve">Figure </w:t>
      </w:r>
      <w:r w:rsidR="007164F4" w:rsidRPr="007164F4">
        <w:rPr>
          <w:rFonts w:cs="Arial"/>
          <w:noProof/>
        </w:rPr>
        <w:t>3</w:t>
      </w:r>
      <w:r w:rsidR="007164F4" w:rsidRPr="007164F4">
        <w:rPr>
          <w:rFonts w:cs="Arial"/>
          <w:sz w:val="21"/>
          <w:szCs w:val="21"/>
        </w:rPr>
        <w:fldChar w:fldCharType="end"/>
      </w:r>
      <w:r w:rsidR="007164F4" w:rsidRPr="007164F4">
        <w:rPr>
          <w:rFonts w:cs="Arial"/>
          <w:sz w:val="21"/>
          <w:szCs w:val="21"/>
        </w:rPr>
        <w:t>)</w:t>
      </w:r>
      <w:r w:rsidR="0048749A">
        <w:rPr>
          <w:rFonts w:cs="Arial"/>
          <w:sz w:val="21"/>
          <w:szCs w:val="21"/>
        </w:rPr>
        <w:t>. This allows the convex of the curve</w:t>
      </w:r>
      <w:r w:rsidR="00F80A3F">
        <w:rPr>
          <w:rFonts w:cs="Arial"/>
          <w:sz w:val="21"/>
          <w:szCs w:val="21"/>
        </w:rPr>
        <w:t xml:space="preserve"> to face the river to the south.</w:t>
      </w:r>
      <w:r w:rsidR="009912D9">
        <w:rPr>
          <w:rFonts w:cs="Arial"/>
          <w:sz w:val="21"/>
          <w:szCs w:val="21"/>
        </w:rPr>
        <w:t xml:space="preserve"> The</w:t>
      </w:r>
      <w:r w:rsidR="002C6A4A">
        <w:rPr>
          <w:rFonts w:cs="Arial"/>
          <w:sz w:val="21"/>
          <w:szCs w:val="21"/>
        </w:rPr>
        <w:t xml:space="preserve"> mid-toned</w:t>
      </w:r>
      <w:r w:rsidR="009912D9">
        <w:rPr>
          <w:rFonts w:cs="Arial"/>
          <w:sz w:val="21"/>
          <w:szCs w:val="21"/>
        </w:rPr>
        <w:t xml:space="preserve"> bricks are </w:t>
      </w:r>
      <w:r w:rsidR="00987990">
        <w:rPr>
          <w:rFonts w:cs="Arial"/>
          <w:sz w:val="21"/>
          <w:szCs w:val="21"/>
        </w:rPr>
        <w:t>recycled from other sites in Melbourne</w:t>
      </w:r>
      <w:r w:rsidR="002C6A4A">
        <w:rPr>
          <w:rFonts w:cs="Arial"/>
          <w:sz w:val="21"/>
          <w:szCs w:val="21"/>
        </w:rPr>
        <w:t>.</w:t>
      </w:r>
    </w:p>
    <w:p w14:paraId="0D69400E" w14:textId="77777777" w:rsidR="00CE57C0" w:rsidRDefault="00CE57C0" w:rsidP="00DC4E68">
      <w:pPr>
        <w:rPr>
          <w:rFonts w:cs="Arial"/>
          <w:sz w:val="21"/>
          <w:szCs w:val="21"/>
        </w:rPr>
      </w:pPr>
    </w:p>
    <w:p w14:paraId="04BBFBF5" w14:textId="77777777" w:rsidR="007164F4" w:rsidRPr="00001F63" w:rsidRDefault="007164F4" w:rsidP="007164F4">
      <w:pPr>
        <w:keepNext/>
        <w:rPr>
          <w:sz w:val="18"/>
          <w:szCs w:val="18"/>
        </w:rPr>
      </w:pPr>
      <w:r w:rsidRPr="00001F63">
        <w:rPr>
          <w:noProof/>
          <w:sz w:val="18"/>
          <w:szCs w:val="18"/>
          <w:lang w:eastAsia="en-AU"/>
        </w:rPr>
        <w:lastRenderedPageBreak/>
        <w:drawing>
          <wp:inline distT="0" distB="0" distL="0" distR="0" wp14:anchorId="173DBD72" wp14:editId="0A9ADA3D">
            <wp:extent cx="5206614" cy="2351315"/>
            <wp:effectExtent l="0" t="0" r="0" b="0"/>
            <wp:docPr id="7" name="Picture 7" descr="A picture containing tree, ground,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ree, ground, outdoor, house&#10;&#10;Description automatically generated"/>
                    <pic:cNvPicPr/>
                  </pic:nvPicPr>
                  <pic:blipFill>
                    <a:blip r:embed="rId14"/>
                    <a:stretch>
                      <a:fillRect/>
                    </a:stretch>
                  </pic:blipFill>
                  <pic:spPr>
                    <a:xfrm>
                      <a:off x="0" y="0"/>
                      <a:ext cx="5230663" cy="2362176"/>
                    </a:xfrm>
                    <a:prstGeom prst="rect">
                      <a:avLst/>
                    </a:prstGeom>
                  </pic:spPr>
                </pic:pic>
              </a:graphicData>
            </a:graphic>
          </wp:inline>
        </w:drawing>
      </w:r>
    </w:p>
    <w:p w14:paraId="39067846" w14:textId="166ADF26" w:rsidR="007164F4" w:rsidRPr="00001F63" w:rsidRDefault="007164F4" w:rsidP="007164F4">
      <w:pPr>
        <w:pStyle w:val="Caption"/>
        <w:ind w:left="0"/>
        <w:jc w:val="both"/>
        <w:rPr>
          <w:rFonts w:ascii="Arial" w:hAnsi="Arial"/>
          <w:i w:val="0"/>
          <w:iCs/>
          <w:sz w:val="18"/>
          <w:szCs w:val="18"/>
        </w:rPr>
      </w:pPr>
      <w:bookmarkStart w:id="2" w:name="_Ref99713296"/>
      <w:r w:rsidRPr="00001F63">
        <w:rPr>
          <w:rFonts w:ascii="Arial" w:hAnsi="Arial"/>
          <w:i w:val="0"/>
          <w:iCs/>
          <w:sz w:val="18"/>
          <w:szCs w:val="18"/>
        </w:rPr>
        <w:t xml:space="preserve">Figure </w:t>
      </w:r>
      <w:r w:rsidRPr="00001F63">
        <w:rPr>
          <w:rFonts w:ascii="Arial" w:hAnsi="Arial"/>
          <w:i w:val="0"/>
          <w:iCs/>
          <w:sz w:val="18"/>
          <w:szCs w:val="18"/>
        </w:rPr>
        <w:fldChar w:fldCharType="begin"/>
      </w:r>
      <w:r w:rsidRPr="00001F63">
        <w:rPr>
          <w:rFonts w:ascii="Arial" w:hAnsi="Arial"/>
          <w:i w:val="0"/>
          <w:iCs/>
          <w:sz w:val="18"/>
          <w:szCs w:val="18"/>
        </w:rPr>
        <w:instrText xml:space="preserve"> SEQ Figure \* ARABIC </w:instrText>
      </w:r>
      <w:r w:rsidRPr="00001F63">
        <w:rPr>
          <w:rFonts w:ascii="Arial" w:hAnsi="Arial"/>
          <w:i w:val="0"/>
          <w:iCs/>
          <w:sz w:val="18"/>
          <w:szCs w:val="18"/>
        </w:rPr>
        <w:fldChar w:fldCharType="separate"/>
      </w:r>
      <w:r w:rsidR="00CA594F" w:rsidRPr="00001F63">
        <w:rPr>
          <w:rFonts w:ascii="Arial" w:hAnsi="Arial"/>
          <w:i w:val="0"/>
          <w:iCs/>
          <w:noProof/>
          <w:sz w:val="18"/>
          <w:szCs w:val="18"/>
        </w:rPr>
        <w:t>3</w:t>
      </w:r>
      <w:r w:rsidRPr="00001F63">
        <w:rPr>
          <w:rFonts w:ascii="Arial" w:hAnsi="Arial"/>
          <w:i w:val="0"/>
          <w:iCs/>
          <w:sz w:val="18"/>
          <w:szCs w:val="18"/>
        </w:rPr>
        <w:fldChar w:fldCharType="end"/>
      </w:r>
      <w:bookmarkEnd w:id="2"/>
      <w:r w:rsidRPr="00001F63">
        <w:rPr>
          <w:rFonts w:ascii="Arial" w:hAnsi="Arial"/>
          <w:i w:val="0"/>
          <w:iCs/>
          <w:sz w:val="18"/>
          <w:szCs w:val="18"/>
        </w:rPr>
        <w:t>. A view of the house from the west, showing the curve of the house. Source: Trethowan Architecture 2022.</w:t>
      </w:r>
    </w:p>
    <w:p w14:paraId="31571C75" w14:textId="77777777" w:rsidR="00CA594F" w:rsidRDefault="00CA594F" w:rsidP="00CA594F">
      <w:pPr>
        <w:rPr>
          <w:rFonts w:cs="Arial"/>
          <w:sz w:val="21"/>
          <w:szCs w:val="21"/>
        </w:rPr>
      </w:pPr>
      <w:r>
        <w:rPr>
          <w:rFonts w:cs="Arial"/>
          <w:sz w:val="21"/>
          <w:szCs w:val="21"/>
        </w:rPr>
        <w:t xml:space="preserve">The building is simply detailed. To accommodate the curve of the building, the north and south facades are broken into bays that are separated by engaged brick columns. Between these columns are arrangements of timber doors and windows </w:t>
      </w:r>
      <w:r w:rsidRPr="00CE57C0">
        <w:rPr>
          <w:rFonts w:cs="Arial"/>
          <w:sz w:val="21"/>
          <w:szCs w:val="21"/>
        </w:rPr>
        <w:t>(</w:t>
      </w:r>
      <w:r w:rsidRPr="00CE57C0">
        <w:rPr>
          <w:rFonts w:cs="Arial"/>
          <w:sz w:val="21"/>
          <w:szCs w:val="21"/>
        </w:rPr>
        <w:fldChar w:fldCharType="begin"/>
      </w:r>
      <w:r w:rsidRPr="00CE57C0">
        <w:rPr>
          <w:rFonts w:cs="Arial"/>
          <w:sz w:val="21"/>
          <w:szCs w:val="21"/>
        </w:rPr>
        <w:instrText xml:space="preserve"> REF _Ref99713187 \h  \* MERGEFORMAT </w:instrText>
      </w:r>
      <w:r w:rsidRPr="00CE57C0">
        <w:rPr>
          <w:rFonts w:cs="Arial"/>
          <w:sz w:val="21"/>
          <w:szCs w:val="21"/>
        </w:rPr>
      </w:r>
      <w:r w:rsidRPr="00CE57C0">
        <w:rPr>
          <w:rFonts w:cs="Arial"/>
          <w:sz w:val="21"/>
          <w:szCs w:val="21"/>
        </w:rPr>
        <w:fldChar w:fldCharType="separate"/>
      </w:r>
      <w:r w:rsidRPr="00CE57C0">
        <w:rPr>
          <w:rFonts w:cs="Arial"/>
        </w:rPr>
        <w:t xml:space="preserve">Figure </w:t>
      </w:r>
      <w:r w:rsidRPr="00CE57C0">
        <w:rPr>
          <w:rFonts w:cs="Arial"/>
          <w:noProof/>
        </w:rPr>
        <w:t>3</w:t>
      </w:r>
      <w:r w:rsidRPr="00CE57C0">
        <w:rPr>
          <w:rFonts w:cs="Arial"/>
          <w:sz w:val="21"/>
          <w:szCs w:val="21"/>
        </w:rPr>
        <w:fldChar w:fldCharType="end"/>
      </w:r>
      <w:r w:rsidRPr="00CE57C0">
        <w:rPr>
          <w:rFonts w:cs="Arial"/>
          <w:sz w:val="21"/>
          <w:szCs w:val="21"/>
        </w:rPr>
        <w:t>)</w:t>
      </w:r>
      <w:r>
        <w:rPr>
          <w:rFonts w:cs="Arial"/>
          <w:sz w:val="21"/>
          <w:szCs w:val="21"/>
        </w:rPr>
        <w:t>. Some windows, such as those to the kitchen, are set higher above sections of brick walls. The roof is supported by exposed dark-stained timber rafters, with similarly stained timber fascia boards.</w:t>
      </w:r>
    </w:p>
    <w:p w14:paraId="3950E2D7" w14:textId="77777777" w:rsidR="00CA594F" w:rsidRPr="00CA594F" w:rsidRDefault="00CA594F" w:rsidP="00CA594F">
      <w:pPr>
        <w:rPr>
          <w:lang w:eastAsia="en-AU"/>
        </w:rPr>
      </w:pPr>
    </w:p>
    <w:p w14:paraId="6C6BA9B8" w14:textId="3EFC875C" w:rsidR="00CE57C0" w:rsidRPr="00001F63" w:rsidRDefault="00CE57C0" w:rsidP="00CE57C0">
      <w:pPr>
        <w:keepNext/>
        <w:rPr>
          <w:sz w:val="18"/>
          <w:szCs w:val="18"/>
        </w:rPr>
      </w:pPr>
      <w:r w:rsidRPr="00001F63">
        <w:rPr>
          <w:noProof/>
          <w:sz w:val="18"/>
          <w:szCs w:val="18"/>
          <w:lang w:eastAsia="en-AU"/>
        </w:rPr>
        <mc:AlternateContent>
          <mc:Choice Requires="wps">
            <w:drawing>
              <wp:anchor distT="0" distB="0" distL="114300" distR="114300" simplePos="0" relativeHeight="251659264" behindDoc="0" locked="0" layoutInCell="1" allowOverlap="1" wp14:anchorId="78E1AE68" wp14:editId="09777D5C">
                <wp:simplePos x="0" y="0"/>
                <wp:positionH relativeFrom="column">
                  <wp:posOffset>4219946</wp:posOffset>
                </wp:positionH>
                <wp:positionV relativeFrom="paragraph">
                  <wp:posOffset>2292589</wp:posOffset>
                </wp:positionV>
                <wp:extent cx="657844" cy="610342"/>
                <wp:effectExtent l="19050" t="19050" r="28575" b="18415"/>
                <wp:wrapNone/>
                <wp:docPr id="5" name="Oval 5"/>
                <wp:cNvGraphicFramePr/>
                <a:graphic xmlns:a="http://schemas.openxmlformats.org/drawingml/2006/main">
                  <a:graphicData uri="http://schemas.microsoft.com/office/word/2010/wordprocessingShape">
                    <wps:wsp>
                      <wps:cNvSpPr/>
                      <wps:spPr>
                        <a:xfrm>
                          <a:off x="0" y="0"/>
                          <a:ext cx="657844" cy="610342"/>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6673861">
              <v:oval id="Oval 5" style="position:absolute;margin-left:332.3pt;margin-top:180.5pt;width:51.8pt;height:4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63A5E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">
                <v:stroke joinstyle="miter"/>
              </v:oval>
            </w:pict>
          </mc:Fallback>
        </mc:AlternateContent>
      </w:r>
      <w:r w:rsidRPr="00001F63">
        <w:rPr>
          <w:noProof/>
          <w:sz w:val="18"/>
          <w:szCs w:val="18"/>
          <w:lang w:eastAsia="en-AU"/>
        </w:rPr>
        <w:drawing>
          <wp:inline distT="0" distB="0" distL="0" distR="0" wp14:anchorId="1BECFC7F" wp14:editId="330FADCF">
            <wp:extent cx="5296395" cy="3968151"/>
            <wp:effectExtent l="0" t="0" r="0" b="0"/>
            <wp:docPr id="3" name="Picture 3" descr="A house being buil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house being built&#10;&#10;Description automatically generated with low confidence"/>
                    <pic:cNvPicPr/>
                  </pic:nvPicPr>
                  <pic:blipFill>
                    <a:blip r:embed="rId15"/>
                    <a:stretch>
                      <a:fillRect/>
                    </a:stretch>
                  </pic:blipFill>
                  <pic:spPr>
                    <a:xfrm>
                      <a:off x="0" y="0"/>
                      <a:ext cx="5306681" cy="3975857"/>
                    </a:xfrm>
                    <a:prstGeom prst="rect">
                      <a:avLst/>
                    </a:prstGeom>
                  </pic:spPr>
                </pic:pic>
              </a:graphicData>
            </a:graphic>
          </wp:inline>
        </w:drawing>
      </w:r>
    </w:p>
    <w:p w14:paraId="1C9F8E25" w14:textId="16E35953" w:rsidR="00CE57C0" w:rsidRPr="00001F63" w:rsidRDefault="00CE57C0" w:rsidP="00CE57C0">
      <w:pPr>
        <w:pStyle w:val="Caption"/>
        <w:ind w:left="0"/>
        <w:jc w:val="both"/>
        <w:rPr>
          <w:rFonts w:ascii="Arial" w:hAnsi="Arial"/>
          <w:i w:val="0"/>
          <w:iCs/>
          <w:sz w:val="18"/>
          <w:szCs w:val="18"/>
        </w:rPr>
      </w:pPr>
      <w:bookmarkStart w:id="3" w:name="_Ref99713187"/>
      <w:r w:rsidRPr="00001F63">
        <w:rPr>
          <w:rFonts w:ascii="Arial" w:hAnsi="Arial"/>
          <w:i w:val="0"/>
          <w:iCs/>
          <w:sz w:val="18"/>
          <w:szCs w:val="18"/>
        </w:rPr>
        <w:t xml:space="preserve">Figure </w:t>
      </w:r>
      <w:r w:rsidRPr="00001F63">
        <w:rPr>
          <w:rFonts w:ascii="Arial" w:hAnsi="Arial"/>
          <w:i w:val="0"/>
          <w:iCs/>
          <w:sz w:val="18"/>
          <w:szCs w:val="18"/>
        </w:rPr>
        <w:fldChar w:fldCharType="begin"/>
      </w:r>
      <w:r w:rsidRPr="00001F63">
        <w:rPr>
          <w:rFonts w:ascii="Arial" w:hAnsi="Arial"/>
          <w:i w:val="0"/>
          <w:iCs/>
          <w:sz w:val="18"/>
          <w:szCs w:val="18"/>
        </w:rPr>
        <w:instrText xml:space="preserve"> SEQ Figure \* ARABIC </w:instrText>
      </w:r>
      <w:r w:rsidRPr="00001F63">
        <w:rPr>
          <w:rFonts w:ascii="Arial" w:hAnsi="Arial"/>
          <w:i w:val="0"/>
          <w:iCs/>
          <w:sz w:val="18"/>
          <w:szCs w:val="18"/>
        </w:rPr>
        <w:fldChar w:fldCharType="separate"/>
      </w:r>
      <w:r w:rsidR="00CA594F" w:rsidRPr="00001F63">
        <w:rPr>
          <w:rFonts w:ascii="Arial" w:hAnsi="Arial"/>
          <w:i w:val="0"/>
          <w:iCs/>
          <w:noProof/>
          <w:sz w:val="18"/>
          <w:szCs w:val="18"/>
        </w:rPr>
        <w:t>4</w:t>
      </w:r>
      <w:r w:rsidRPr="00001F63">
        <w:rPr>
          <w:rFonts w:ascii="Arial" w:hAnsi="Arial"/>
          <w:i w:val="0"/>
          <w:iCs/>
          <w:sz w:val="18"/>
          <w:szCs w:val="18"/>
        </w:rPr>
        <w:fldChar w:fldCharType="end"/>
      </w:r>
      <w:bookmarkEnd w:id="3"/>
      <w:r w:rsidRPr="00001F63">
        <w:rPr>
          <w:rFonts w:ascii="Arial" w:hAnsi="Arial"/>
          <w:i w:val="0"/>
          <w:iCs/>
          <w:sz w:val="18"/>
          <w:szCs w:val="18"/>
        </w:rPr>
        <w:t>: The south of the house, showing how the sets of doors and windows are set between brick columns. Note the stained fascia, shell pattern brick paving and bluestone bench (highlighted in red). Source: Trethowan Architecture 2022.</w:t>
      </w:r>
    </w:p>
    <w:p w14:paraId="7ABB1FF3" w14:textId="1D958DAF" w:rsidR="00354D95" w:rsidRDefault="002C6A4A" w:rsidP="00DC4E68">
      <w:pPr>
        <w:rPr>
          <w:rFonts w:cs="Arial"/>
          <w:sz w:val="21"/>
          <w:szCs w:val="21"/>
        </w:rPr>
      </w:pPr>
      <w:r>
        <w:rPr>
          <w:rFonts w:cs="Arial"/>
          <w:sz w:val="21"/>
          <w:szCs w:val="21"/>
        </w:rPr>
        <w:br/>
        <w:t xml:space="preserve">A further single storey storeroom is built adjacent to the house on the eastern side. This </w:t>
      </w:r>
      <w:r>
        <w:rPr>
          <w:rFonts w:cs="Arial"/>
          <w:sz w:val="21"/>
          <w:szCs w:val="21"/>
        </w:rPr>
        <w:lastRenderedPageBreak/>
        <w:t xml:space="preserve">section uses similar recycled bricks to the </w:t>
      </w:r>
      <w:r w:rsidR="00E874F6">
        <w:rPr>
          <w:rFonts w:cs="Arial"/>
          <w:sz w:val="21"/>
          <w:szCs w:val="21"/>
        </w:rPr>
        <w:t>main body of the house and continues the exposed rafters. The north wall of this room is finished in vertical stained timber boards.</w:t>
      </w:r>
    </w:p>
    <w:p w14:paraId="7B7A475C" w14:textId="77777777" w:rsidR="00E874F6" w:rsidRDefault="00E874F6" w:rsidP="00DC4E68">
      <w:pPr>
        <w:rPr>
          <w:rFonts w:cs="Arial"/>
          <w:sz w:val="21"/>
          <w:szCs w:val="21"/>
        </w:rPr>
      </w:pPr>
    </w:p>
    <w:p w14:paraId="1CBB96FC" w14:textId="77039966" w:rsidR="00E874F6" w:rsidRDefault="00E874F6" w:rsidP="00DC4E68">
      <w:pPr>
        <w:rPr>
          <w:rFonts w:cs="Arial"/>
          <w:sz w:val="21"/>
          <w:szCs w:val="21"/>
        </w:rPr>
      </w:pPr>
      <w:r>
        <w:rPr>
          <w:rFonts w:cs="Arial"/>
          <w:sz w:val="21"/>
          <w:szCs w:val="21"/>
        </w:rPr>
        <w:t>An expansive terrace to the south of the house has brick paving in a</w:t>
      </w:r>
      <w:r w:rsidR="00E26A41">
        <w:rPr>
          <w:rFonts w:cs="Arial"/>
          <w:sz w:val="21"/>
          <w:szCs w:val="21"/>
        </w:rPr>
        <w:t xml:space="preserve"> shell pattern. A set of bluestone stairs lead down from this terrace to the river, with the treads made from </w:t>
      </w:r>
      <w:r w:rsidR="00C418B9">
        <w:rPr>
          <w:rFonts w:cs="Arial"/>
          <w:sz w:val="21"/>
          <w:szCs w:val="21"/>
        </w:rPr>
        <w:t xml:space="preserve">bluestone blocks with dressed edges which appear to be former </w:t>
      </w:r>
      <w:r w:rsidR="00A35C50">
        <w:rPr>
          <w:rFonts w:cs="Arial"/>
          <w:sz w:val="21"/>
          <w:szCs w:val="21"/>
        </w:rPr>
        <w:t>windowsills</w:t>
      </w:r>
      <w:r w:rsidR="00C418B9">
        <w:rPr>
          <w:rFonts w:cs="Arial"/>
          <w:sz w:val="21"/>
          <w:szCs w:val="21"/>
        </w:rPr>
        <w:t xml:space="preserve"> or door thresholds</w:t>
      </w:r>
      <w:r w:rsidR="00A35C50">
        <w:rPr>
          <w:rFonts w:cs="Arial"/>
          <w:sz w:val="21"/>
          <w:szCs w:val="21"/>
        </w:rPr>
        <w:t>/lintels</w:t>
      </w:r>
      <w:r w:rsidR="00C418B9">
        <w:rPr>
          <w:rFonts w:cs="Arial"/>
          <w:sz w:val="21"/>
          <w:szCs w:val="21"/>
        </w:rPr>
        <w:t xml:space="preserve"> from a Victorian era building(s)</w:t>
      </w:r>
      <w:r w:rsidR="00CA594F">
        <w:rPr>
          <w:rFonts w:cs="Arial"/>
          <w:sz w:val="21"/>
          <w:szCs w:val="21"/>
        </w:rPr>
        <w:t xml:space="preserve"> </w:t>
      </w:r>
      <w:r w:rsidR="00CA594F" w:rsidRPr="00CA594F">
        <w:rPr>
          <w:rFonts w:cs="Arial"/>
          <w:sz w:val="21"/>
          <w:szCs w:val="21"/>
        </w:rPr>
        <w:t>(</w:t>
      </w:r>
      <w:r w:rsidR="00CA594F" w:rsidRPr="00CA594F">
        <w:rPr>
          <w:rFonts w:cs="Arial"/>
          <w:sz w:val="21"/>
          <w:szCs w:val="21"/>
        </w:rPr>
        <w:fldChar w:fldCharType="begin"/>
      </w:r>
      <w:r w:rsidR="00CA594F" w:rsidRPr="00CA594F">
        <w:rPr>
          <w:rFonts w:cs="Arial"/>
          <w:sz w:val="21"/>
          <w:szCs w:val="21"/>
        </w:rPr>
        <w:instrText xml:space="preserve"> REF _Ref99713477 \h  \* MERGEFORMAT </w:instrText>
      </w:r>
      <w:r w:rsidR="00CA594F" w:rsidRPr="00CA594F">
        <w:rPr>
          <w:rFonts w:cs="Arial"/>
          <w:sz w:val="21"/>
          <w:szCs w:val="21"/>
        </w:rPr>
      </w:r>
      <w:r w:rsidR="00CA594F" w:rsidRPr="00CA594F">
        <w:rPr>
          <w:rFonts w:cs="Arial"/>
          <w:sz w:val="21"/>
          <w:szCs w:val="21"/>
        </w:rPr>
        <w:fldChar w:fldCharType="separate"/>
      </w:r>
      <w:r w:rsidR="00CA594F" w:rsidRPr="00CA594F">
        <w:rPr>
          <w:rFonts w:cs="Arial"/>
        </w:rPr>
        <w:t xml:space="preserve">Figure </w:t>
      </w:r>
      <w:r w:rsidR="00CA594F" w:rsidRPr="00CA594F">
        <w:rPr>
          <w:rFonts w:cs="Arial"/>
          <w:noProof/>
        </w:rPr>
        <w:t>5</w:t>
      </w:r>
      <w:r w:rsidR="00CA594F" w:rsidRPr="00CA594F">
        <w:rPr>
          <w:rFonts w:cs="Arial"/>
          <w:sz w:val="21"/>
          <w:szCs w:val="21"/>
        </w:rPr>
        <w:fldChar w:fldCharType="end"/>
      </w:r>
      <w:r w:rsidR="00CA594F" w:rsidRPr="00CA594F">
        <w:rPr>
          <w:rFonts w:cs="Arial"/>
          <w:sz w:val="21"/>
          <w:szCs w:val="21"/>
        </w:rPr>
        <w:t>)</w:t>
      </w:r>
      <w:r w:rsidR="00C418B9">
        <w:rPr>
          <w:rFonts w:cs="Arial"/>
          <w:sz w:val="21"/>
          <w:szCs w:val="21"/>
        </w:rPr>
        <w:t xml:space="preserve">. </w:t>
      </w:r>
      <w:r w:rsidR="00A35C50">
        <w:rPr>
          <w:rFonts w:cs="Arial"/>
          <w:sz w:val="21"/>
          <w:szCs w:val="21"/>
        </w:rPr>
        <w:t xml:space="preserve">A simple stone bench on the terrace is made from similar bluestone. </w:t>
      </w:r>
      <w:r w:rsidR="00AB0B1F">
        <w:rPr>
          <w:rFonts w:cs="Arial"/>
          <w:sz w:val="21"/>
          <w:szCs w:val="21"/>
        </w:rPr>
        <w:t>Bluestone sills and lintels are evident in the landscaping elsewhere around the site.</w:t>
      </w:r>
    </w:p>
    <w:p w14:paraId="6FAC0F47" w14:textId="77777777" w:rsidR="00CA594F" w:rsidRDefault="00CA594F" w:rsidP="00DC4E68">
      <w:pPr>
        <w:rPr>
          <w:rFonts w:cs="Arial"/>
          <w:sz w:val="21"/>
          <w:szCs w:val="21"/>
        </w:rPr>
      </w:pPr>
    </w:p>
    <w:p w14:paraId="6DB01E25" w14:textId="77777777" w:rsidR="00CA594F" w:rsidRPr="00077A65" w:rsidRDefault="00CA594F" w:rsidP="00CA594F">
      <w:pPr>
        <w:keepNext/>
        <w:rPr>
          <w:sz w:val="18"/>
          <w:szCs w:val="18"/>
        </w:rPr>
      </w:pPr>
      <w:r w:rsidRPr="00077A65">
        <w:rPr>
          <w:noProof/>
          <w:sz w:val="18"/>
          <w:szCs w:val="18"/>
          <w:lang w:eastAsia="en-AU"/>
        </w:rPr>
        <w:drawing>
          <wp:inline distT="0" distB="0" distL="0" distR="0" wp14:anchorId="0E20B6D3" wp14:editId="51785E1A">
            <wp:extent cx="3600000" cy="3590031"/>
            <wp:effectExtent l="0" t="0" r="635" b="0"/>
            <wp:docPr id="8" name="Picture 8" descr="A set of stairs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et of stairs outside&#10;&#10;Description automatically generated with low confidence"/>
                    <pic:cNvPicPr/>
                  </pic:nvPicPr>
                  <pic:blipFill>
                    <a:blip r:embed="rId16"/>
                    <a:stretch>
                      <a:fillRect/>
                    </a:stretch>
                  </pic:blipFill>
                  <pic:spPr>
                    <a:xfrm>
                      <a:off x="0" y="0"/>
                      <a:ext cx="3600000" cy="3590031"/>
                    </a:xfrm>
                    <a:prstGeom prst="rect">
                      <a:avLst/>
                    </a:prstGeom>
                  </pic:spPr>
                </pic:pic>
              </a:graphicData>
            </a:graphic>
          </wp:inline>
        </w:drawing>
      </w:r>
    </w:p>
    <w:p w14:paraId="1F5E54E3" w14:textId="1C4F35E9" w:rsidR="00CA594F" w:rsidRPr="00077A65" w:rsidRDefault="00CA594F" w:rsidP="00CA594F">
      <w:pPr>
        <w:pStyle w:val="Caption"/>
        <w:ind w:left="0"/>
        <w:jc w:val="both"/>
        <w:rPr>
          <w:rFonts w:ascii="Arial" w:hAnsi="Arial"/>
          <w:i w:val="0"/>
          <w:iCs/>
          <w:sz w:val="18"/>
          <w:szCs w:val="18"/>
        </w:rPr>
      </w:pPr>
      <w:bookmarkStart w:id="4" w:name="_Ref99713477"/>
      <w:r w:rsidRPr="00077A65">
        <w:rPr>
          <w:rFonts w:ascii="Arial" w:hAnsi="Arial"/>
          <w:i w:val="0"/>
          <w:iCs/>
          <w:sz w:val="18"/>
          <w:szCs w:val="18"/>
        </w:rPr>
        <w:t xml:space="preserve">Figure </w:t>
      </w:r>
      <w:r w:rsidRPr="00077A65">
        <w:rPr>
          <w:rFonts w:ascii="Arial" w:hAnsi="Arial"/>
          <w:i w:val="0"/>
          <w:iCs/>
          <w:sz w:val="18"/>
          <w:szCs w:val="18"/>
        </w:rPr>
        <w:fldChar w:fldCharType="begin"/>
      </w:r>
      <w:r w:rsidRPr="00077A65">
        <w:rPr>
          <w:rFonts w:ascii="Arial" w:hAnsi="Arial"/>
          <w:i w:val="0"/>
          <w:iCs/>
          <w:sz w:val="18"/>
          <w:szCs w:val="18"/>
        </w:rPr>
        <w:instrText xml:space="preserve"> SEQ Figure \* ARABIC </w:instrText>
      </w:r>
      <w:r w:rsidRPr="00077A65">
        <w:rPr>
          <w:rFonts w:ascii="Arial" w:hAnsi="Arial"/>
          <w:i w:val="0"/>
          <w:iCs/>
          <w:sz w:val="18"/>
          <w:szCs w:val="18"/>
        </w:rPr>
        <w:fldChar w:fldCharType="separate"/>
      </w:r>
      <w:r w:rsidRPr="00077A65">
        <w:rPr>
          <w:rFonts w:ascii="Arial" w:hAnsi="Arial"/>
          <w:i w:val="0"/>
          <w:iCs/>
          <w:noProof/>
          <w:sz w:val="18"/>
          <w:szCs w:val="18"/>
        </w:rPr>
        <w:t>5</w:t>
      </w:r>
      <w:r w:rsidRPr="00077A65">
        <w:rPr>
          <w:rFonts w:ascii="Arial" w:hAnsi="Arial"/>
          <w:i w:val="0"/>
          <w:iCs/>
          <w:sz w:val="18"/>
          <w:szCs w:val="18"/>
        </w:rPr>
        <w:fldChar w:fldCharType="end"/>
      </w:r>
      <w:bookmarkEnd w:id="4"/>
      <w:r w:rsidRPr="00077A65">
        <w:rPr>
          <w:rFonts w:ascii="Arial" w:hAnsi="Arial"/>
          <w:i w:val="0"/>
          <w:iCs/>
          <w:sz w:val="18"/>
          <w:szCs w:val="18"/>
        </w:rPr>
        <w:t>: A view of the bluestone garden stairs. Source: Trethowan Architecture 2022.</w:t>
      </w:r>
    </w:p>
    <w:p w14:paraId="74F0A130" w14:textId="732B7815" w:rsidR="00354D95" w:rsidRDefault="00354D95" w:rsidP="00DC4E68">
      <w:pPr>
        <w:rPr>
          <w:rFonts w:cs="Arial"/>
          <w:sz w:val="21"/>
          <w:szCs w:val="21"/>
        </w:rPr>
      </w:pPr>
    </w:p>
    <w:p w14:paraId="2BDFE654" w14:textId="3F0281C0" w:rsidR="00104F1F" w:rsidRDefault="00F0333B" w:rsidP="007D3802">
      <w:pPr>
        <w:rPr>
          <w:rFonts w:cs="Arial"/>
          <w:b/>
          <w:sz w:val="21"/>
          <w:szCs w:val="21"/>
        </w:rPr>
      </w:pPr>
      <w:r w:rsidRPr="00533CF2">
        <w:rPr>
          <w:rFonts w:cs="Arial"/>
          <w:b/>
          <w:sz w:val="21"/>
          <w:szCs w:val="21"/>
        </w:rPr>
        <w:t>Comparative Analysis</w:t>
      </w:r>
    </w:p>
    <w:p w14:paraId="7D37BE59" w14:textId="77777777" w:rsidR="000D4F5B" w:rsidRDefault="000D4F5B" w:rsidP="0053253F">
      <w:pPr>
        <w:rPr>
          <w:rFonts w:cs="Arial"/>
          <w:sz w:val="21"/>
          <w:szCs w:val="21"/>
        </w:rPr>
      </w:pPr>
    </w:p>
    <w:p w14:paraId="26A009DA" w14:textId="78D6EFFB" w:rsidR="000B2A36" w:rsidRDefault="002A00FB" w:rsidP="0053253F">
      <w:pPr>
        <w:rPr>
          <w:rFonts w:cs="Arial"/>
          <w:sz w:val="21"/>
          <w:szCs w:val="21"/>
        </w:rPr>
      </w:pPr>
      <w:r>
        <w:rPr>
          <w:rFonts w:cs="Arial"/>
          <w:sz w:val="21"/>
          <w:szCs w:val="21"/>
        </w:rPr>
        <w:t xml:space="preserve">Although </w:t>
      </w:r>
      <w:r w:rsidR="0046635E">
        <w:rPr>
          <w:rFonts w:cs="Arial"/>
          <w:sz w:val="21"/>
          <w:szCs w:val="21"/>
        </w:rPr>
        <w:t>Post-war</w:t>
      </w:r>
      <w:r>
        <w:rPr>
          <w:rFonts w:cs="Arial"/>
          <w:sz w:val="21"/>
          <w:szCs w:val="21"/>
        </w:rPr>
        <w:t xml:space="preserve"> modernism had taken off </w:t>
      </w:r>
      <w:r w:rsidR="00A34259">
        <w:rPr>
          <w:rFonts w:cs="Arial"/>
          <w:sz w:val="21"/>
          <w:szCs w:val="21"/>
        </w:rPr>
        <w:t>across the suburbs of</w:t>
      </w:r>
      <w:r>
        <w:rPr>
          <w:rFonts w:cs="Arial"/>
          <w:sz w:val="21"/>
          <w:szCs w:val="21"/>
        </w:rPr>
        <w:t xml:space="preserve"> Melbourne, the Eltham and Warrandyte areas saw a</w:t>
      </w:r>
      <w:r w:rsidR="0015569D">
        <w:rPr>
          <w:rFonts w:cs="Arial"/>
          <w:sz w:val="21"/>
          <w:szCs w:val="21"/>
        </w:rPr>
        <w:t xml:space="preserve">n alternative form of architectural experimentation. Mills and Westbrooke </w:t>
      </w:r>
      <w:r w:rsidR="002F021E">
        <w:rPr>
          <w:rFonts w:cs="Arial"/>
          <w:sz w:val="21"/>
          <w:szCs w:val="21"/>
        </w:rPr>
        <w:t>write</w:t>
      </w:r>
      <w:r w:rsidR="0015569D">
        <w:rPr>
          <w:rFonts w:cs="Arial"/>
          <w:sz w:val="21"/>
          <w:szCs w:val="21"/>
        </w:rPr>
        <w:t xml:space="preserve"> that</w:t>
      </w:r>
    </w:p>
    <w:p w14:paraId="1F9FB749" w14:textId="77777777" w:rsidR="00A34259" w:rsidRDefault="00A34259" w:rsidP="0053253F">
      <w:pPr>
        <w:rPr>
          <w:rFonts w:cs="Arial"/>
          <w:sz w:val="21"/>
          <w:szCs w:val="21"/>
        </w:rPr>
      </w:pPr>
    </w:p>
    <w:p w14:paraId="0E5A4EC6" w14:textId="61CF304D" w:rsidR="008724AA" w:rsidRPr="000B2A36" w:rsidRDefault="000B2A36" w:rsidP="000B2A36">
      <w:pPr>
        <w:ind w:left="720"/>
        <w:rPr>
          <w:rFonts w:cs="Arial"/>
          <w:sz w:val="21"/>
          <w:szCs w:val="21"/>
        </w:rPr>
      </w:pPr>
      <w:r w:rsidRPr="000B2A36">
        <w:rPr>
          <w:rFonts w:cs="Arial"/>
          <w:i/>
          <w:iCs/>
          <w:sz w:val="21"/>
          <w:szCs w:val="21"/>
        </w:rPr>
        <w:t>t</w:t>
      </w:r>
      <w:r w:rsidR="00BC3AE6" w:rsidRPr="000B2A36">
        <w:rPr>
          <w:rFonts w:cs="Arial"/>
          <w:i/>
          <w:iCs/>
          <w:sz w:val="21"/>
          <w:szCs w:val="21"/>
        </w:rPr>
        <w:t>he trend was characterised by an acceptance of the characteristics of the site, including the local bush, topography and geology and an attempt to blend and adapt to these conditions through building form and siting, choice of materials and landscape approach. The best-known spokesperson for this trend, Alistair Knox, gave it the label ‘Australian environmental building’</w:t>
      </w:r>
      <w:r>
        <w:rPr>
          <w:rFonts w:cs="Arial"/>
          <w:i/>
          <w:iCs/>
          <w:sz w:val="21"/>
          <w:szCs w:val="21"/>
        </w:rPr>
        <w:t xml:space="preserve"> </w:t>
      </w:r>
      <w:r>
        <w:rPr>
          <w:rFonts w:cs="Arial"/>
          <w:sz w:val="21"/>
          <w:szCs w:val="21"/>
        </w:rPr>
        <w:t>(Mills and</w:t>
      </w:r>
      <w:r w:rsidR="00FF4519">
        <w:rPr>
          <w:rFonts w:cs="Arial"/>
          <w:sz w:val="21"/>
          <w:szCs w:val="21"/>
        </w:rPr>
        <w:t xml:space="preserve"> </w:t>
      </w:r>
      <w:r w:rsidR="0018120C">
        <w:rPr>
          <w:rFonts w:cs="Arial"/>
          <w:sz w:val="21"/>
          <w:szCs w:val="21"/>
        </w:rPr>
        <w:t>Westbrook</w:t>
      </w:r>
      <w:r w:rsidR="002F021E">
        <w:rPr>
          <w:rFonts w:cs="Arial"/>
          <w:sz w:val="21"/>
          <w:szCs w:val="21"/>
        </w:rPr>
        <w:t>e</w:t>
      </w:r>
      <w:r w:rsidR="0018120C">
        <w:rPr>
          <w:rFonts w:cs="Arial"/>
          <w:sz w:val="21"/>
          <w:szCs w:val="21"/>
        </w:rPr>
        <w:t xml:space="preserve"> 2016: 78)</w:t>
      </w:r>
    </w:p>
    <w:p w14:paraId="72E22501" w14:textId="77777777" w:rsidR="0018120C" w:rsidRDefault="0018120C">
      <w:pPr>
        <w:overflowPunct/>
        <w:autoSpaceDE/>
        <w:autoSpaceDN/>
        <w:adjustRightInd/>
        <w:jc w:val="left"/>
        <w:textAlignment w:val="auto"/>
        <w:rPr>
          <w:rFonts w:cs="Arial"/>
          <w:b/>
          <w:sz w:val="21"/>
          <w:szCs w:val="21"/>
        </w:rPr>
      </w:pPr>
    </w:p>
    <w:p w14:paraId="5C759797" w14:textId="77777777" w:rsidR="002F021E" w:rsidRDefault="007F2C50">
      <w:pPr>
        <w:overflowPunct/>
        <w:autoSpaceDE/>
        <w:autoSpaceDN/>
        <w:adjustRightInd/>
        <w:jc w:val="left"/>
        <w:textAlignment w:val="auto"/>
        <w:rPr>
          <w:color w:val="000000"/>
        </w:rPr>
      </w:pPr>
      <w:r>
        <w:rPr>
          <w:color w:val="000000"/>
        </w:rPr>
        <w:t>The style that developed, often referred to as ‘the Eltham Style’ or ‘the Warrandyte R</w:t>
      </w:r>
      <w:r w:rsidRPr="002A0982">
        <w:rPr>
          <w:color w:val="000000"/>
        </w:rPr>
        <w:t>ustic</w:t>
      </w:r>
      <w:r>
        <w:rPr>
          <w:color w:val="000000"/>
        </w:rPr>
        <w:t xml:space="preserve">’, was characterised by its use of honest, natural materials including mud bricks, local stone and expressed structural timber. </w:t>
      </w:r>
      <w:r w:rsidR="0073188A">
        <w:rPr>
          <w:color w:val="000000"/>
        </w:rPr>
        <w:t xml:space="preserve">Recycled materials were often utilised in construction (Mills and </w:t>
      </w:r>
      <w:r w:rsidR="0026650E">
        <w:rPr>
          <w:color w:val="000000"/>
        </w:rPr>
        <w:t>Westbrook</w:t>
      </w:r>
      <w:r w:rsidR="002F021E">
        <w:rPr>
          <w:color w:val="000000"/>
        </w:rPr>
        <w:t>e</w:t>
      </w:r>
      <w:r w:rsidR="0073188A">
        <w:rPr>
          <w:color w:val="000000"/>
        </w:rPr>
        <w:t xml:space="preserve"> 2016: </w:t>
      </w:r>
      <w:r w:rsidR="00EF663B">
        <w:rPr>
          <w:color w:val="000000"/>
        </w:rPr>
        <w:t xml:space="preserve">78). </w:t>
      </w:r>
    </w:p>
    <w:p w14:paraId="4F1A66A2" w14:textId="77777777" w:rsidR="002F021E" w:rsidRDefault="002F021E">
      <w:pPr>
        <w:overflowPunct/>
        <w:autoSpaceDE/>
        <w:autoSpaceDN/>
        <w:adjustRightInd/>
        <w:jc w:val="left"/>
        <w:textAlignment w:val="auto"/>
        <w:rPr>
          <w:color w:val="000000"/>
        </w:rPr>
      </w:pPr>
    </w:p>
    <w:p w14:paraId="09A0FD8F" w14:textId="253E22F7" w:rsidR="0097293A" w:rsidRDefault="002F021E" w:rsidP="00E05B05">
      <w:pPr>
        <w:overflowPunct/>
        <w:autoSpaceDE/>
        <w:autoSpaceDN/>
        <w:adjustRightInd/>
        <w:textAlignment w:val="auto"/>
        <w:rPr>
          <w:color w:val="000000"/>
        </w:rPr>
      </w:pPr>
      <w:r>
        <w:rPr>
          <w:color w:val="000000"/>
        </w:rPr>
        <w:lastRenderedPageBreak/>
        <w:t xml:space="preserve">Alistair Knox was a prolific builder and designer who is widely associated with developing the style, and for his contribution to the built environment in the Shire of Nillumbik. </w:t>
      </w:r>
      <w:r w:rsidR="0097293A">
        <w:rPr>
          <w:color w:val="000000"/>
        </w:rPr>
        <w:t xml:space="preserve">Mills and </w:t>
      </w:r>
      <w:r w:rsidR="0046635E">
        <w:rPr>
          <w:color w:val="000000"/>
        </w:rPr>
        <w:t>Westbrooke</w:t>
      </w:r>
      <w:r w:rsidR="0097293A">
        <w:rPr>
          <w:color w:val="000000"/>
        </w:rPr>
        <w:t xml:space="preserve"> further note that</w:t>
      </w:r>
    </w:p>
    <w:p w14:paraId="37A3C639" w14:textId="77777777" w:rsidR="0097293A" w:rsidRDefault="0097293A">
      <w:pPr>
        <w:overflowPunct/>
        <w:autoSpaceDE/>
        <w:autoSpaceDN/>
        <w:adjustRightInd/>
        <w:jc w:val="left"/>
        <w:textAlignment w:val="auto"/>
        <w:rPr>
          <w:color w:val="000000"/>
        </w:rPr>
      </w:pPr>
    </w:p>
    <w:p w14:paraId="5C910F77" w14:textId="67A7234F" w:rsidR="00031ACC" w:rsidRDefault="0097293A" w:rsidP="0097293A">
      <w:pPr>
        <w:ind w:left="720"/>
        <w:rPr>
          <w:i/>
          <w:iCs/>
          <w:color w:val="000000"/>
        </w:rPr>
      </w:pPr>
      <w:r w:rsidRPr="0097293A">
        <w:rPr>
          <w:i/>
          <w:iCs/>
          <w:color w:val="000000"/>
        </w:rPr>
        <w:t>inspired by his visits to Montsalvat in the early 1940s and, after the war, he studied building at the Melbourne Technical College. Knox’s early work in Eltham falls into two main categories: simple rectilinear forms, which were the basis for most of his work up to the 1970s, and a first flush of complex exploratory designs</w:t>
      </w:r>
      <w:r w:rsidR="00031ACC">
        <w:rPr>
          <w:i/>
          <w:iCs/>
          <w:color w:val="000000"/>
        </w:rPr>
        <w:t xml:space="preserve"> … </w:t>
      </w:r>
    </w:p>
    <w:p w14:paraId="7ECA08CC" w14:textId="77777777" w:rsidR="00031ACC" w:rsidRPr="00031ACC" w:rsidRDefault="00031ACC" w:rsidP="00031ACC">
      <w:pPr>
        <w:ind w:left="1440"/>
        <w:rPr>
          <w:i/>
          <w:iCs/>
          <w:color w:val="000000"/>
        </w:rPr>
      </w:pPr>
    </w:p>
    <w:p w14:paraId="20F84DD4" w14:textId="632F99FF" w:rsidR="0097293A" w:rsidRDefault="00031ACC" w:rsidP="00031ACC">
      <w:pPr>
        <w:ind w:left="720"/>
        <w:rPr>
          <w:color w:val="000000"/>
        </w:rPr>
      </w:pPr>
      <w:r w:rsidRPr="00031ACC">
        <w:rPr>
          <w:i/>
          <w:iCs/>
          <w:color w:val="000000"/>
        </w:rPr>
        <w:t xml:space="preserve">By the mid-1960s Knox had become something of an industry in his own right. A 1966 article indicates he had already built over one hundred houses since 1946. In this </w:t>
      </w:r>
      <w:r w:rsidR="0046635E" w:rsidRPr="00031ACC">
        <w:rPr>
          <w:i/>
          <w:iCs/>
          <w:color w:val="000000"/>
        </w:rPr>
        <w:t>period,</w:t>
      </w:r>
      <w:r w:rsidRPr="00031ACC">
        <w:rPr>
          <w:i/>
          <w:iCs/>
          <w:color w:val="000000"/>
        </w:rPr>
        <w:t xml:space="preserve"> he was increasingly mining a rich vein of high quality materials from the nineteenth century buildings then being demolished in the city. His Glover house in Eltham was built by Dutch immigrant builder Pieter Hellemons using recycled bricks and timber. The property was also graced with a ‘natural rock and bush’ garden design by Gordon </w:t>
      </w:r>
      <w:r w:rsidR="0046635E" w:rsidRPr="00031ACC">
        <w:rPr>
          <w:i/>
          <w:iCs/>
          <w:color w:val="000000"/>
        </w:rPr>
        <w:t>Ford</w:t>
      </w:r>
      <w:r w:rsidR="0046635E">
        <w:rPr>
          <w:color w:val="000000"/>
        </w:rPr>
        <w:t xml:space="preserve"> </w:t>
      </w:r>
      <w:r w:rsidR="0046635E">
        <w:rPr>
          <w:i/>
          <w:iCs/>
          <w:color w:val="000000"/>
        </w:rPr>
        <w:t>(</w:t>
      </w:r>
      <w:r w:rsidR="0097293A">
        <w:rPr>
          <w:color w:val="000000"/>
        </w:rPr>
        <w:t>Mills and Westbrooke 2016:</w:t>
      </w:r>
      <w:r w:rsidR="005B20D6">
        <w:rPr>
          <w:color w:val="000000"/>
        </w:rPr>
        <w:t>79</w:t>
      </w:r>
      <w:r>
        <w:rPr>
          <w:color w:val="000000"/>
        </w:rPr>
        <w:t>-80</w:t>
      </w:r>
      <w:r w:rsidR="005B20D6">
        <w:rPr>
          <w:color w:val="000000"/>
        </w:rPr>
        <w:t>).</w:t>
      </w:r>
    </w:p>
    <w:p w14:paraId="044C686F" w14:textId="77777777" w:rsidR="005B20D6" w:rsidRDefault="005B20D6" w:rsidP="005B20D6">
      <w:pPr>
        <w:rPr>
          <w:color w:val="000000"/>
        </w:rPr>
      </w:pPr>
    </w:p>
    <w:p w14:paraId="5F9CF96C" w14:textId="77777777" w:rsidR="00854517" w:rsidRDefault="00552FA5" w:rsidP="00E05B05">
      <w:pPr>
        <w:overflowPunct/>
        <w:autoSpaceDE/>
        <w:autoSpaceDN/>
        <w:adjustRightInd/>
        <w:textAlignment w:val="auto"/>
        <w:rPr>
          <w:color w:val="000000"/>
        </w:rPr>
      </w:pPr>
      <w:r>
        <w:rPr>
          <w:color w:val="000000"/>
        </w:rPr>
        <w:t xml:space="preserve">The subject site, designed by Alistair Knox, bears key characteristics of </w:t>
      </w:r>
      <w:r w:rsidR="0091477D">
        <w:rPr>
          <w:color w:val="000000"/>
        </w:rPr>
        <w:t xml:space="preserve">his work. Although </w:t>
      </w:r>
      <w:r w:rsidR="00F27FB5">
        <w:rPr>
          <w:color w:val="000000"/>
        </w:rPr>
        <w:t xml:space="preserve">Knox was a prolific builder and designer in the Shire, only </w:t>
      </w:r>
      <w:r w:rsidR="00854517">
        <w:rPr>
          <w:color w:val="000000"/>
        </w:rPr>
        <w:t>a handful of examples of his work are represented on the Heritage Overlay. Comparative examples completed by Alistair Knox include:</w:t>
      </w:r>
    </w:p>
    <w:p w14:paraId="09242AF2" w14:textId="77777777" w:rsidR="00077A65" w:rsidRPr="00077A65" w:rsidRDefault="00077A65" w:rsidP="00077A65">
      <w:pPr>
        <w:pStyle w:val="ListParagraph"/>
        <w:numPr>
          <w:ilvl w:val="0"/>
          <w:numId w:val="5"/>
        </w:numPr>
        <w:overflowPunct/>
        <w:autoSpaceDE/>
        <w:autoSpaceDN/>
        <w:adjustRightInd/>
        <w:jc w:val="left"/>
        <w:textAlignment w:val="auto"/>
        <w:rPr>
          <w:rFonts w:cs="Arial"/>
          <w:bCs/>
          <w:sz w:val="21"/>
          <w:szCs w:val="21"/>
        </w:rPr>
      </w:pPr>
      <w:r w:rsidRPr="00077A65">
        <w:rPr>
          <w:rFonts w:cs="Arial"/>
          <w:bCs/>
          <w:sz w:val="21"/>
          <w:szCs w:val="21"/>
        </w:rPr>
        <w:t>The Periwinkle House, 54 Batman Road, Eltham (HO11)</w:t>
      </w:r>
    </w:p>
    <w:p w14:paraId="491A1BB8" w14:textId="77777777" w:rsidR="00077A65" w:rsidRPr="00077A65" w:rsidRDefault="00077A65" w:rsidP="00077A65">
      <w:pPr>
        <w:pStyle w:val="ListParagraph"/>
        <w:numPr>
          <w:ilvl w:val="0"/>
          <w:numId w:val="5"/>
        </w:numPr>
        <w:overflowPunct/>
        <w:autoSpaceDE/>
        <w:autoSpaceDN/>
        <w:adjustRightInd/>
        <w:jc w:val="left"/>
        <w:textAlignment w:val="auto"/>
        <w:rPr>
          <w:rFonts w:cs="Arial"/>
          <w:bCs/>
          <w:sz w:val="21"/>
          <w:szCs w:val="21"/>
        </w:rPr>
      </w:pPr>
      <w:r w:rsidRPr="00077A65">
        <w:rPr>
          <w:rFonts w:cs="Arial"/>
          <w:bCs/>
          <w:sz w:val="21"/>
          <w:szCs w:val="21"/>
        </w:rPr>
        <w:t>The Pittard House, 430 Mount Pleasant Road, Research (HO139)</w:t>
      </w:r>
    </w:p>
    <w:p w14:paraId="054D9F4E" w14:textId="77777777" w:rsidR="00854517" w:rsidRPr="00077A65" w:rsidRDefault="00854517" w:rsidP="00077A65">
      <w:pPr>
        <w:pStyle w:val="ListParagraph"/>
        <w:overflowPunct/>
        <w:autoSpaceDE/>
        <w:autoSpaceDN/>
        <w:adjustRightInd/>
        <w:jc w:val="left"/>
        <w:textAlignment w:val="auto"/>
        <w:rPr>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077A65" w14:paraId="6291CE1A" w14:textId="77777777" w:rsidTr="00AD3679">
        <w:tc>
          <w:tcPr>
            <w:tcW w:w="4148" w:type="dxa"/>
          </w:tcPr>
          <w:p w14:paraId="7DDD1931" w14:textId="77777777" w:rsidR="00077A65" w:rsidRPr="00077A65" w:rsidRDefault="00077A65" w:rsidP="00077A65">
            <w:pPr>
              <w:overflowPunct/>
              <w:autoSpaceDE/>
              <w:autoSpaceDN/>
              <w:adjustRightInd/>
              <w:jc w:val="left"/>
              <w:textAlignment w:val="auto"/>
              <w:rPr>
                <w:rFonts w:cs="Arial"/>
                <w:b/>
                <w:sz w:val="18"/>
                <w:szCs w:val="18"/>
              </w:rPr>
            </w:pPr>
            <w:r w:rsidRPr="00077A65">
              <w:rPr>
                <w:noProof/>
                <w:sz w:val="18"/>
                <w:szCs w:val="18"/>
                <w:lang w:eastAsia="en-AU"/>
              </w:rPr>
              <w:drawing>
                <wp:inline distT="0" distB="0" distL="0" distR="0" wp14:anchorId="2A41201D" wp14:editId="1F79C437">
                  <wp:extent cx="2520000" cy="1676320"/>
                  <wp:effectExtent l="0" t="0" r="0" b="635"/>
                  <wp:docPr id="9" name="Picture 9" descr="Periwinkle House 54 Batman Rd Colour 1 - Shire of Eltham Heritage Study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iwinkle House 54 Batman Rd Colour 1 - Shire of Eltham Heritage Study 199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955" t="7625" r="5645" b="4809"/>
                          <a:stretch/>
                        </pic:blipFill>
                        <pic:spPr bwMode="auto">
                          <a:xfrm>
                            <a:off x="0" y="0"/>
                            <a:ext cx="2520000" cy="1676320"/>
                          </a:xfrm>
                          <a:prstGeom prst="rect">
                            <a:avLst/>
                          </a:prstGeom>
                          <a:noFill/>
                          <a:ln>
                            <a:noFill/>
                          </a:ln>
                          <a:extLst>
                            <a:ext uri="{53640926-AAD7-44D8-BBD7-CCE9431645EC}">
                              <a14:shadowObscured xmlns:a14="http://schemas.microsoft.com/office/drawing/2010/main"/>
                            </a:ext>
                          </a:extLst>
                        </pic:spPr>
                      </pic:pic>
                    </a:graphicData>
                  </a:graphic>
                </wp:inline>
              </w:drawing>
            </w:r>
          </w:p>
          <w:p w14:paraId="2BD51821" w14:textId="38EA337E" w:rsidR="00077A65" w:rsidRPr="00077A65" w:rsidRDefault="00077A65">
            <w:pPr>
              <w:overflowPunct/>
              <w:autoSpaceDE/>
              <w:autoSpaceDN/>
              <w:adjustRightInd/>
              <w:jc w:val="left"/>
              <w:textAlignment w:val="auto"/>
              <w:rPr>
                <w:rFonts w:cs="Arial"/>
                <w:bCs/>
                <w:sz w:val="18"/>
                <w:szCs w:val="18"/>
              </w:rPr>
            </w:pPr>
            <w:r w:rsidRPr="00077A65">
              <w:rPr>
                <w:rFonts w:cs="Arial"/>
                <w:bCs/>
                <w:sz w:val="18"/>
                <w:szCs w:val="18"/>
              </w:rPr>
              <w:t>The Periwinkle House, 54 Batman Road, Eltham (HO11)</w:t>
            </w:r>
            <w:r w:rsidR="00AD3679">
              <w:rPr>
                <w:rFonts w:cs="Arial"/>
                <w:bCs/>
                <w:sz w:val="18"/>
                <w:szCs w:val="18"/>
              </w:rPr>
              <w:t xml:space="preserve"> Source: VHD</w:t>
            </w:r>
          </w:p>
          <w:p w14:paraId="313EF5CD" w14:textId="0E9CAE3D" w:rsidR="00077A65" w:rsidRPr="00077A65" w:rsidRDefault="00077A65">
            <w:pPr>
              <w:overflowPunct/>
              <w:autoSpaceDE/>
              <w:autoSpaceDN/>
              <w:adjustRightInd/>
              <w:jc w:val="left"/>
              <w:textAlignment w:val="auto"/>
              <w:rPr>
                <w:color w:val="000000"/>
                <w:sz w:val="18"/>
                <w:szCs w:val="18"/>
              </w:rPr>
            </w:pPr>
          </w:p>
        </w:tc>
        <w:tc>
          <w:tcPr>
            <w:tcW w:w="4148" w:type="dxa"/>
          </w:tcPr>
          <w:p w14:paraId="021330A9" w14:textId="77777777" w:rsidR="00077A65" w:rsidRPr="00077A65" w:rsidRDefault="00077A65" w:rsidP="00077A65">
            <w:pPr>
              <w:overflowPunct/>
              <w:autoSpaceDE/>
              <w:autoSpaceDN/>
              <w:adjustRightInd/>
              <w:jc w:val="left"/>
              <w:textAlignment w:val="auto"/>
              <w:rPr>
                <w:rFonts w:cs="Arial"/>
                <w:b/>
                <w:sz w:val="18"/>
                <w:szCs w:val="18"/>
              </w:rPr>
            </w:pPr>
            <w:r w:rsidRPr="00077A65">
              <w:rPr>
                <w:noProof/>
                <w:sz w:val="18"/>
                <w:szCs w:val="18"/>
                <w:lang w:eastAsia="en-AU"/>
              </w:rPr>
              <w:drawing>
                <wp:inline distT="0" distB="0" distL="0" distR="0" wp14:anchorId="3826BD67" wp14:editId="413CEC43">
                  <wp:extent cx="2520000" cy="1660482"/>
                  <wp:effectExtent l="0" t="0" r="0" b="0"/>
                  <wp:docPr id="10" name="Picture 10" descr="Pittard Residence 430 Mt Pleasant Rd Colour 3 - Shire of Eltham Heritage Study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ttard Residence 430 Mt Pleasant Rd Colour 3 - Shire of Eltham Heritage Study 199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660482"/>
                          </a:xfrm>
                          <a:prstGeom prst="rect">
                            <a:avLst/>
                          </a:prstGeom>
                          <a:noFill/>
                          <a:ln>
                            <a:noFill/>
                          </a:ln>
                        </pic:spPr>
                      </pic:pic>
                    </a:graphicData>
                  </a:graphic>
                </wp:inline>
              </w:drawing>
            </w:r>
          </w:p>
          <w:p w14:paraId="353E754C" w14:textId="4FF8B416" w:rsidR="00077A65" w:rsidRPr="00077A65" w:rsidRDefault="00077A65" w:rsidP="00077A65">
            <w:pPr>
              <w:overflowPunct/>
              <w:autoSpaceDE/>
              <w:autoSpaceDN/>
              <w:adjustRightInd/>
              <w:jc w:val="left"/>
              <w:textAlignment w:val="auto"/>
              <w:rPr>
                <w:rFonts w:cs="Arial"/>
                <w:bCs/>
                <w:sz w:val="18"/>
                <w:szCs w:val="18"/>
              </w:rPr>
            </w:pPr>
            <w:r w:rsidRPr="00077A65">
              <w:rPr>
                <w:rFonts w:cs="Arial"/>
                <w:bCs/>
                <w:sz w:val="18"/>
                <w:szCs w:val="18"/>
              </w:rPr>
              <w:t>The Pittard House, 430 Mount Pleasant Road, Research (HO139)</w:t>
            </w:r>
            <w:r w:rsidR="00AD3679">
              <w:rPr>
                <w:rFonts w:cs="Arial"/>
                <w:bCs/>
                <w:sz w:val="18"/>
                <w:szCs w:val="18"/>
              </w:rPr>
              <w:t xml:space="preserve"> Source: VHD</w:t>
            </w:r>
          </w:p>
          <w:p w14:paraId="576897BB" w14:textId="77777777" w:rsidR="00077A65" w:rsidRPr="00077A65" w:rsidRDefault="00077A65">
            <w:pPr>
              <w:overflowPunct/>
              <w:autoSpaceDE/>
              <w:autoSpaceDN/>
              <w:adjustRightInd/>
              <w:jc w:val="left"/>
              <w:textAlignment w:val="auto"/>
              <w:rPr>
                <w:color w:val="000000"/>
                <w:sz w:val="18"/>
                <w:szCs w:val="18"/>
              </w:rPr>
            </w:pPr>
          </w:p>
        </w:tc>
      </w:tr>
    </w:tbl>
    <w:p w14:paraId="581C8418" w14:textId="07278146" w:rsidR="000B7D16" w:rsidRDefault="00DF19A5" w:rsidP="00E05B05">
      <w:pPr>
        <w:overflowPunct/>
        <w:autoSpaceDE/>
        <w:autoSpaceDN/>
        <w:adjustRightInd/>
        <w:textAlignment w:val="auto"/>
        <w:rPr>
          <w:rFonts w:cs="Arial"/>
          <w:bCs/>
          <w:sz w:val="21"/>
          <w:szCs w:val="21"/>
        </w:rPr>
      </w:pPr>
      <w:r>
        <w:rPr>
          <w:rFonts w:cs="Arial"/>
          <w:bCs/>
          <w:sz w:val="21"/>
          <w:szCs w:val="21"/>
        </w:rPr>
        <w:t xml:space="preserve">The Periwinkle House </w:t>
      </w:r>
      <w:r w:rsidR="009670D5">
        <w:rPr>
          <w:rFonts w:cs="Arial"/>
          <w:bCs/>
          <w:sz w:val="21"/>
          <w:szCs w:val="21"/>
        </w:rPr>
        <w:t xml:space="preserve">at 54 Batman Road, Eltham, is a curved mudbrick house </w:t>
      </w:r>
      <w:r w:rsidR="009E5952">
        <w:rPr>
          <w:rFonts w:cs="Arial"/>
          <w:bCs/>
          <w:sz w:val="21"/>
          <w:szCs w:val="21"/>
        </w:rPr>
        <w:t xml:space="preserve">built in 1948 to a design by Alistair Knox. The house is significant as one of the first </w:t>
      </w:r>
      <w:r w:rsidR="00606D1C">
        <w:rPr>
          <w:rFonts w:cs="Arial"/>
          <w:bCs/>
          <w:sz w:val="21"/>
          <w:szCs w:val="21"/>
        </w:rPr>
        <w:t>mudbrick houses constructed in Eltham</w:t>
      </w:r>
      <w:r w:rsidR="000B7D16">
        <w:rPr>
          <w:rFonts w:cs="Arial"/>
          <w:bCs/>
          <w:sz w:val="21"/>
          <w:szCs w:val="21"/>
        </w:rPr>
        <w:t>, and the first curved wall house designed by Knox</w:t>
      </w:r>
      <w:r w:rsidR="00606D1C">
        <w:rPr>
          <w:rFonts w:cs="Arial"/>
          <w:bCs/>
          <w:sz w:val="21"/>
          <w:szCs w:val="21"/>
        </w:rPr>
        <w:t xml:space="preserve">. The modest size is characteristic of </w:t>
      </w:r>
      <w:r w:rsidR="0046635E">
        <w:rPr>
          <w:rFonts w:cs="Arial"/>
          <w:bCs/>
          <w:sz w:val="21"/>
          <w:szCs w:val="21"/>
        </w:rPr>
        <w:t>Post-war</w:t>
      </w:r>
      <w:r w:rsidR="00606D1C">
        <w:rPr>
          <w:rFonts w:cs="Arial"/>
          <w:bCs/>
          <w:sz w:val="21"/>
          <w:szCs w:val="21"/>
        </w:rPr>
        <w:t xml:space="preserve"> development in the Shire</w:t>
      </w:r>
      <w:r w:rsidR="000B7D16">
        <w:rPr>
          <w:rFonts w:cs="Arial"/>
          <w:bCs/>
          <w:sz w:val="21"/>
          <w:szCs w:val="21"/>
        </w:rPr>
        <w:t>.</w:t>
      </w:r>
    </w:p>
    <w:p w14:paraId="1C26A7DC" w14:textId="77777777" w:rsidR="000B7D16" w:rsidRDefault="000B7D16" w:rsidP="00E05B05">
      <w:pPr>
        <w:overflowPunct/>
        <w:autoSpaceDE/>
        <w:autoSpaceDN/>
        <w:adjustRightInd/>
        <w:textAlignment w:val="auto"/>
        <w:rPr>
          <w:rFonts w:cs="Arial"/>
          <w:bCs/>
          <w:sz w:val="21"/>
          <w:szCs w:val="21"/>
        </w:rPr>
      </w:pPr>
    </w:p>
    <w:p w14:paraId="12289393" w14:textId="77777777" w:rsidR="00C950FA" w:rsidRDefault="000B7D16" w:rsidP="00E05B05">
      <w:pPr>
        <w:overflowPunct/>
        <w:autoSpaceDE/>
        <w:autoSpaceDN/>
        <w:adjustRightInd/>
        <w:textAlignment w:val="auto"/>
        <w:rPr>
          <w:rFonts w:cs="Arial"/>
          <w:bCs/>
          <w:sz w:val="21"/>
          <w:szCs w:val="21"/>
        </w:rPr>
      </w:pPr>
      <w:r>
        <w:rPr>
          <w:rFonts w:cs="Arial"/>
          <w:bCs/>
          <w:sz w:val="21"/>
          <w:szCs w:val="21"/>
        </w:rPr>
        <w:t xml:space="preserve">The Pittard House at </w:t>
      </w:r>
      <w:r w:rsidR="00252062">
        <w:rPr>
          <w:rFonts w:cs="Arial"/>
          <w:bCs/>
          <w:sz w:val="21"/>
          <w:szCs w:val="21"/>
        </w:rPr>
        <w:t>430 Mount Pleasant Road, Research, is a substantial mudbrick home built between 1978-1979</w:t>
      </w:r>
      <w:r w:rsidR="00C20223">
        <w:rPr>
          <w:rFonts w:cs="Arial"/>
          <w:bCs/>
          <w:sz w:val="21"/>
          <w:szCs w:val="21"/>
        </w:rPr>
        <w:t>. The house features a large sweeping curved wall</w:t>
      </w:r>
      <w:r w:rsidR="00C950FA">
        <w:rPr>
          <w:rFonts w:cs="Arial"/>
          <w:bCs/>
          <w:sz w:val="21"/>
          <w:szCs w:val="21"/>
        </w:rPr>
        <w:t>, and many recycled materials. The house is considered a good example of Knox’s later work.</w:t>
      </w:r>
    </w:p>
    <w:p w14:paraId="04E102D9" w14:textId="77777777" w:rsidR="00C950FA" w:rsidRDefault="00C950FA">
      <w:pPr>
        <w:overflowPunct/>
        <w:autoSpaceDE/>
        <w:autoSpaceDN/>
        <w:adjustRightInd/>
        <w:jc w:val="left"/>
        <w:textAlignment w:val="auto"/>
        <w:rPr>
          <w:rFonts w:cs="Arial"/>
          <w:bCs/>
          <w:sz w:val="21"/>
          <w:szCs w:val="21"/>
        </w:rPr>
      </w:pPr>
    </w:p>
    <w:p w14:paraId="723398B9" w14:textId="04C0B070" w:rsidR="00FF13B9" w:rsidRPr="00184ABE" w:rsidRDefault="00C950FA" w:rsidP="00E05B05">
      <w:pPr>
        <w:overflowPunct/>
        <w:autoSpaceDE/>
        <w:autoSpaceDN/>
        <w:adjustRightInd/>
        <w:textAlignment w:val="auto"/>
        <w:rPr>
          <w:rFonts w:cs="Arial"/>
          <w:bCs/>
          <w:sz w:val="21"/>
          <w:szCs w:val="21"/>
        </w:rPr>
      </w:pPr>
      <w:r>
        <w:rPr>
          <w:rFonts w:cs="Arial"/>
          <w:bCs/>
          <w:sz w:val="21"/>
          <w:szCs w:val="21"/>
        </w:rPr>
        <w:t>While the subject site does not use mudbrick construction like the</w:t>
      </w:r>
      <w:r w:rsidR="00F242CC">
        <w:rPr>
          <w:rFonts w:cs="Arial"/>
          <w:bCs/>
          <w:sz w:val="21"/>
          <w:szCs w:val="21"/>
        </w:rPr>
        <w:t xml:space="preserve">se </w:t>
      </w:r>
      <w:r>
        <w:rPr>
          <w:rFonts w:cs="Arial"/>
          <w:bCs/>
          <w:sz w:val="21"/>
          <w:szCs w:val="21"/>
        </w:rPr>
        <w:t xml:space="preserve">examples, it compares well for its use of a curved wall that dominates the floor plan. As the subject site was built in 1968, it </w:t>
      </w:r>
      <w:r w:rsidR="0069721B">
        <w:rPr>
          <w:rFonts w:cs="Arial"/>
          <w:bCs/>
          <w:sz w:val="21"/>
          <w:szCs w:val="21"/>
        </w:rPr>
        <w:t xml:space="preserve">sits between the two examples (1948 and 1978-9, respectively), and demonstrates Knox’s continued </w:t>
      </w:r>
      <w:r w:rsidR="00184ABE">
        <w:rPr>
          <w:rFonts w:cs="Arial"/>
          <w:bCs/>
          <w:sz w:val="21"/>
          <w:szCs w:val="21"/>
        </w:rPr>
        <w:t xml:space="preserve">interest in curved forms throughout his body of work. </w:t>
      </w:r>
      <w:r w:rsidR="000F2D8A">
        <w:rPr>
          <w:rFonts w:cs="Arial"/>
          <w:bCs/>
          <w:sz w:val="21"/>
          <w:szCs w:val="21"/>
        </w:rPr>
        <w:t>Like the comparative examples, the site bears</w:t>
      </w:r>
      <w:r w:rsidR="00184ABE">
        <w:rPr>
          <w:rFonts w:cs="Arial"/>
          <w:bCs/>
          <w:sz w:val="21"/>
          <w:szCs w:val="21"/>
        </w:rPr>
        <w:t xml:space="preserve"> characteristics of Knox’s work </w:t>
      </w:r>
      <w:r w:rsidR="000F2D8A">
        <w:rPr>
          <w:rFonts w:cs="Arial"/>
          <w:bCs/>
          <w:sz w:val="21"/>
          <w:szCs w:val="21"/>
        </w:rPr>
        <w:t>including the use of recycled materials</w:t>
      </w:r>
      <w:r w:rsidR="00200693">
        <w:rPr>
          <w:rFonts w:cs="Arial"/>
          <w:bCs/>
          <w:sz w:val="21"/>
          <w:szCs w:val="21"/>
        </w:rPr>
        <w:t xml:space="preserve"> and carefully selected bush settings. </w:t>
      </w:r>
      <w:r w:rsidR="00F242CC">
        <w:rPr>
          <w:rFonts w:cs="Arial"/>
          <w:bCs/>
          <w:sz w:val="21"/>
          <w:szCs w:val="21"/>
        </w:rPr>
        <w:t>The subject site is distinguished from these examples by its use of recycled brick materials. Overall, the site compares well as a</w:t>
      </w:r>
      <w:r w:rsidR="002A17D3">
        <w:rPr>
          <w:rFonts w:cs="Arial"/>
          <w:bCs/>
          <w:sz w:val="21"/>
          <w:szCs w:val="21"/>
        </w:rPr>
        <w:t xml:space="preserve"> well-designed, modest </w:t>
      </w:r>
      <w:r w:rsidR="00F242CC">
        <w:rPr>
          <w:rFonts w:cs="Arial"/>
          <w:bCs/>
          <w:sz w:val="21"/>
          <w:szCs w:val="21"/>
        </w:rPr>
        <w:t xml:space="preserve">example of </w:t>
      </w:r>
      <w:r w:rsidR="002A17D3">
        <w:rPr>
          <w:rFonts w:cs="Arial"/>
          <w:bCs/>
          <w:sz w:val="21"/>
          <w:szCs w:val="21"/>
        </w:rPr>
        <w:t xml:space="preserve">Knox’s work during the 1960s. </w:t>
      </w:r>
      <w:r w:rsidR="006B7EA1">
        <w:rPr>
          <w:rFonts w:cs="Arial"/>
          <w:bCs/>
          <w:sz w:val="21"/>
          <w:szCs w:val="21"/>
        </w:rPr>
        <w:t xml:space="preserve">The </w:t>
      </w:r>
      <w:r w:rsidR="007A7FAD">
        <w:rPr>
          <w:rFonts w:cs="Arial"/>
          <w:bCs/>
          <w:sz w:val="21"/>
          <w:szCs w:val="21"/>
        </w:rPr>
        <w:t xml:space="preserve">house is also distinguished by its expert </w:t>
      </w:r>
      <w:r w:rsidR="00AA0A5D">
        <w:rPr>
          <w:rFonts w:cs="Arial"/>
          <w:bCs/>
          <w:sz w:val="21"/>
          <w:szCs w:val="21"/>
        </w:rPr>
        <w:t>positioning</w:t>
      </w:r>
      <w:r w:rsidR="006B7EA1">
        <w:rPr>
          <w:rFonts w:cs="Arial"/>
          <w:bCs/>
          <w:sz w:val="21"/>
          <w:szCs w:val="21"/>
        </w:rPr>
        <w:t xml:space="preserve"> on a dramatic</w:t>
      </w:r>
      <w:r w:rsidR="00AA0A5D">
        <w:rPr>
          <w:rFonts w:cs="Arial"/>
          <w:bCs/>
          <w:sz w:val="21"/>
          <w:szCs w:val="21"/>
        </w:rPr>
        <w:t>, vegetated</w:t>
      </w:r>
      <w:r w:rsidR="006B7EA1">
        <w:rPr>
          <w:rFonts w:cs="Arial"/>
          <w:bCs/>
          <w:sz w:val="21"/>
          <w:szCs w:val="21"/>
        </w:rPr>
        <w:t xml:space="preserve"> block above the Yarra River, </w:t>
      </w:r>
      <w:r w:rsidR="0004654B">
        <w:rPr>
          <w:rFonts w:cs="Arial"/>
          <w:bCs/>
          <w:sz w:val="21"/>
          <w:szCs w:val="21"/>
        </w:rPr>
        <w:t xml:space="preserve">which expresses the ideals of the Eltham Style. </w:t>
      </w:r>
      <w:r w:rsidR="00FF13B9">
        <w:rPr>
          <w:rFonts w:cs="Arial"/>
          <w:b/>
          <w:sz w:val="21"/>
          <w:szCs w:val="21"/>
        </w:rPr>
        <w:br w:type="page"/>
      </w:r>
    </w:p>
    <w:p w14:paraId="4DF17408" w14:textId="5DFDF1D6" w:rsidR="00F0333B" w:rsidRPr="00533CF2" w:rsidRDefault="00F0333B" w:rsidP="0053253F">
      <w:pPr>
        <w:rPr>
          <w:rFonts w:cs="Arial"/>
          <w:b/>
          <w:sz w:val="21"/>
          <w:szCs w:val="21"/>
        </w:rPr>
      </w:pPr>
      <w:r w:rsidRPr="00533CF2">
        <w:rPr>
          <w:rFonts w:cs="Arial"/>
          <w:b/>
          <w:sz w:val="21"/>
          <w:szCs w:val="21"/>
        </w:rPr>
        <w:lastRenderedPageBreak/>
        <w:t>Assessment Against Criteria</w:t>
      </w:r>
    </w:p>
    <w:p w14:paraId="42FD40EE" w14:textId="77777777" w:rsidR="001D6FC0" w:rsidRPr="00533CF2" w:rsidRDefault="001D6FC0" w:rsidP="0053253F">
      <w:pPr>
        <w:rPr>
          <w:rFonts w:cs="Arial"/>
          <w:sz w:val="21"/>
          <w:szCs w:val="21"/>
        </w:rPr>
      </w:pPr>
    </w:p>
    <w:p w14:paraId="08B0C521" w14:textId="77777777" w:rsidR="00F0333B" w:rsidRPr="00533CF2" w:rsidRDefault="00E82BC1" w:rsidP="0053253F">
      <w:pPr>
        <w:rPr>
          <w:rFonts w:cs="Arial"/>
          <w:sz w:val="21"/>
          <w:szCs w:val="21"/>
        </w:rPr>
      </w:pPr>
      <w:r w:rsidRPr="00533CF2">
        <w:rPr>
          <w:rFonts w:cs="Arial"/>
          <w:sz w:val="21"/>
          <w:szCs w:val="21"/>
        </w:rPr>
        <w:t>C</w:t>
      </w:r>
      <w:r w:rsidR="003511D4" w:rsidRPr="00533CF2">
        <w:rPr>
          <w:rFonts w:cs="Arial"/>
          <w:sz w:val="21"/>
          <w:szCs w:val="21"/>
        </w:rPr>
        <w:t xml:space="preserve">riteria </w:t>
      </w:r>
      <w:r w:rsidR="00890C5B" w:rsidRPr="00533CF2">
        <w:rPr>
          <w:rFonts w:cs="Arial"/>
          <w:sz w:val="21"/>
          <w:szCs w:val="21"/>
        </w:rPr>
        <w:t xml:space="preserve">referred to in </w:t>
      </w:r>
      <w:r w:rsidR="00890C5B" w:rsidRPr="00533CF2">
        <w:rPr>
          <w:rFonts w:cs="Arial"/>
          <w:i/>
          <w:sz w:val="21"/>
          <w:szCs w:val="21"/>
        </w:rPr>
        <w:t xml:space="preserve">Practice Note 1: Applying the Heritage Overlay, </w:t>
      </w:r>
      <w:r w:rsidR="00890C5B" w:rsidRPr="00533CF2">
        <w:rPr>
          <w:rFonts w:cs="Arial"/>
          <w:sz w:val="21"/>
          <w:szCs w:val="21"/>
        </w:rPr>
        <w:t>Department of Planning and Community Development</w:t>
      </w:r>
      <w:r w:rsidR="003F57F8" w:rsidRPr="00533CF2">
        <w:rPr>
          <w:rFonts w:cs="Arial"/>
          <w:i/>
          <w:sz w:val="21"/>
          <w:szCs w:val="21"/>
        </w:rPr>
        <w:t xml:space="preserve">, </w:t>
      </w:r>
      <w:r w:rsidR="00465000">
        <w:rPr>
          <w:rFonts w:cs="Arial"/>
          <w:sz w:val="21"/>
          <w:szCs w:val="21"/>
        </w:rPr>
        <w:t>revised July 2015</w:t>
      </w:r>
      <w:r w:rsidR="00DC40F3" w:rsidRPr="00533CF2">
        <w:rPr>
          <w:rFonts w:cs="Arial"/>
          <w:sz w:val="21"/>
          <w:szCs w:val="21"/>
        </w:rPr>
        <w:t>, m</w:t>
      </w:r>
      <w:r w:rsidR="00890C5B" w:rsidRPr="00533CF2">
        <w:rPr>
          <w:rFonts w:cs="Arial"/>
          <w:sz w:val="21"/>
          <w:szCs w:val="21"/>
        </w:rPr>
        <w:t>odified for the local context.</w:t>
      </w:r>
    </w:p>
    <w:p w14:paraId="00872E3A" w14:textId="77777777" w:rsidR="00890C5B" w:rsidRPr="00533CF2" w:rsidRDefault="00890C5B" w:rsidP="0053253F">
      <w:pPr>
        <w:rPr>
          <w:rFonts w:cs="Arial"/>
          <w:sz w:val="21"/>
          <w:szCs w:val="21"/>
        </w:rPr>
      </w:pPr>
    </w:p>
    <w:p w14:paraId="5D051320" w14:textId="77777777" w:rsidR="008E1C33" w:rsidRPr="00533CF2" w:rsidRDefault="008E1C33" w:rsidP="0053253F">
      <w:pPr>
        <w:rPr>
          <w:rFonts w:cs="Arial"/>
          <w:sz w:val="21"/>
          <w:szCs w:val="21"/>
        </w:rPr>
      </w:pPr>
    </w:p>
    <w:p w14:paraId="26BBAB56" w14:textId="4D80C818" w:rsidR="00A443BF" w:rsidRDefault="00A443BF" w:rsidP="3FC870CB">
      <w:pPr>
        <w:rPr>
          <w:rFonts w:cs="Arial"/>
          <w:i/>
          <w:iCs/>
          <w:sz w:val="21"/>
          <w:szCs w:val="21"/>
        </w:rPr>
      </w:pPr>
      <w:r w:rsidRPr="00A27749">
        <w:rPr>
          <w:rFonts w:cs="Arial"/>
          <w:i/>
          <w:iCs/>
          <w:sz w:val="21"/>
          <w:szCs w:val="21"/>
        </w:rPr>
        <w:t>CRITERION A:</w:t>
      </w:r>
      <w:r w:rsidRPr="00901C79">
        <w:rPr>
          <w:rFonts w:cs="Arial"/>
          <w:i/>
          <w:iCs/>
          <w:sz w:val="21"/>
          <w:szCs w:val="21"/>
        </w:rPr>
        <w:t xml:space="preserve"> Importa</w:t>
      </w:r>
      <w:r w:rsidR="007A044E" w:rsidRPr="00901C79">
        <w:rPr>
          <w:rFonts w:cs="Arial"/>
          <w:i/>
          <w:iCs/>
          <w:sz w:val="21"/>
          <w:szCs w:val="21"/>
        </w:rPr>
        <w:t>nce</w:t>
      </w:r>
      <w:r w:rsidR="007A044E" w:rsidRPr="3FC870CB">
        <w:rPr>
          <w:rFonts w:cs="Arial"/>
          <w:i/>
          <w:iCs/>
          <w:sz w:val="21"/>
          <w:szCs w:val="21"/>
        </w:rPr>
        <w:t xml:space="preserve"> to the course or pattern</w:t>
      </w:r>
      <w:r w:rsidRPr="3FC870CB">
        <w:rPr>
          <w:rFonts w:cs="Arial"/>
          <w:i/>
          <w:iCs/>
          <w:sz w:val="21"/>
          <w:szCs w:val="21"/>
        </w:rPr>
        <w:t xml:space="preserve"> of </w:t>
      </w:r>
      <w:r w:rsidR="541E0040" w:rsidRPr="3FC870CB">
        <w:rPr>
          <w:rFonts w:cs="Arial"/>
          <w:i/>
          <w:iCs/>
          <w:sz w:val="21"/>
          <w:szCs w:val="21"/>
        </w:rPr>
        <w:t xml:space="preserve">the Shire of </w:t>
      </w:r>
      <w:r w:rsidR="091DFB8C" w:rsidRPr="3FC870CB">
        <w:rPr>
          <w:rFonts w:cs="Arial"/>
          <w:i/>
          <w:iCs/>
          <w:sz w:val="21"/>
          <w:szCs w:val="21"/>
        </w:rPr>
        <w:t>Nillumbik</w:t>
      </w:r>
      <w:r w:rsidR="0A7C8E8E" w:rsidRPr="3FC870CB">
        <w:rPr>
          <w:rFonts w:cs="Arial"/>
          <w:i/>
          <w:iCs/>
          <w:sz w:val="21"/>
          <w:szCs w:val="21"/>
        </w:rPr>
        <w:t>’s</w:t>
      </w:r>
      <w:r w:rsidR="78CE3169" w:rsidRPr="3FC870CB">
        <w:rPr>
          <w:rFonts w:cs="Arial"/>
          <w:i/>
          <w:iCs/>
          <w:sz w:val="21"/>
          <w:szCs w:val="21"/>
        </w:rPr>
        <w:t xml:space="preserve"> </w:t>
      </w:r>
      <w:r w:rsidR="003F57F8" w:rsidRPr="3FC870CB">
        <w:rPr>
          <w:rFonts w:cs="Arial"/>
          <w:i/>
          <w:iCs/>
          <w:sz w:val="21"/>
          <w:szCs w:val="21"/>
        </w:rPr>
        <w:t xml:space="preserve">cultural </w:t>
      </w:r>
      <w:r w:rsidR="00FC7300" w:rsidRPr="3FC870CB">
        <w:rPr>
          <w:rFonts w:cs="Arial"/>
          <w:i/>
          <w:iCs/>
          <w:sz w:val="21"/>
          <w:szCs w:val="21"/>
        </w:rPr>
        <w:t xml:space="preserve">or natural </w:t>
      </w:r>
      <w:r w:rsidR="003F57F8" w:rsidRPr="3FC870CB">
        <w:rPr>
          <w:rFonts w:cs="Arial"/>
          <w:i/>
          <w:iCs/>
          <w:sz w:val="21"/>
          <w:szCs w:val="21"/>
        </w:rPr>
        <w:t>history (historical significance).</w:t>
      </w:r>
    </w:p>
    <w:p w14:paraId="08A8D916" w14:textId="529A57EB" w:rsidR="0030501C" w:rsidRDefault="28E95BB7" w:rsidP="0053253F">
      <w:pPr>
        <w:rPr>
          <w:rFonts w:cs="Arial"/>
          <w:sz w:val="21"/>
          <w:szCs w:val="21"/>
        </w:rPr>
      </w:pPr>
      <w:r w:rsidRPr="28E95BB7">
        <w:rPr>
          <w:rFonts w:cs="Arial"/>
          <w:sz w:val="21"/>
          <w:szCs w:val="21"/>
        </w:rPr>
        <w:t xml:space="preserve">The house at 130 Laughing Waters Road is associated with the historical period of post-war growth and experimentation in the Shire that occurred as </w:t>
      </w:r>
      <w:r w:rsidR="0046635E" w:rsidRPr="28E95BB7">
        <w:rPr>
          <w:rFonts w:cs="Arial"/>
          <w:sz w:val="21"/>
          <w:szCs w:val="21"/>
        </w:rPr>
        <w:t>post-war</w:t>
      </w:r>
      <w:r w:rsidRPr="28E95BB7">
        <w:rPr>
          <w:rFonts w:cs="Arial"/>
          <w:sz w:val="21"/>
          <w:szCs w:val="21"/>
        </w:rPr>
        <w:t xml:space="preserve"> subdivisions were taken up and attracted Modernist architects and designers such as Alistair Knox to the area. It demonstrates the ‘environmental building’ style of Knox as part of this movement.</w:t>
      </w:r>
    </w:p>
    <w:p w14:paraId="2E8F4EBD" w14:textId="77777777" w:rsidR="00755CEE" w:rsidRPr="00533CF2" w:rsidRDefault="00755CEE" w:rsidP="00104F1F">
      <w:pPr>
        <w:rPr>
          <w:rFonts w:cs="Arial"/>
          <w:sz w:val="21"/>
          <w:szCs w:val="21"/>
        </w:rPr>
      </w:pPr>
    </w:p>
    <w:p w14:paraId="4ACC67E6" w14:textId="16B83C4E" w:rsidR="00A443BF" w:rsidRPr="00533CF2" w:rsidRDefault="00A443BF" w:rsidP="3FC870CB">
      <w:pPr>
        <w:rPr>
          <w:rFonts w:cs="Arial"/>
          <w:i/>
          <w:iCs/>
          <w:sz w:val="21"/>
          <w:szCs w:val="21"/>
        </w:rPr>
      </w:pPr>
      <w:r w:rsidRPr="3FC870CB">
        <w:rPr>
          <w:rFonts w:cs="Arial"/>
          <w:i/>
          <w:iCs/>
          <w:sz w:val="21"/>
          <w:szCs w:val="21"/>
        </w:rPr>
        <w:t>CRITERION B: Possession of uncommon, rare or endangered aspects of</w:t>
      </w:r>
      <w:r w:rsidR="00894C12" w:rsidRPr="3FC870CB">
        <w:rPr>
          <w:rFonts w:cs="Arial"/>
          <w:i/>
          <w:iCs/>
          <w:sz w:val="21"/>
          <w:szCs w:val="21"/>
        </w:rPr>
        <w:t xml:space="preserve"> the</w:t>
      </w:r>
      <w:r w:rsidRPr="3FC870CB">
        <w:rPr>
          <w:rFonts w:cs="Arial"/>
          <w:i/>
          <w:iCs/>
          <w:sz w:val="21"/>
          <w:szCs w:val="21"/>
        </w:rPr>
        <w:t xml:space="preserve"> </w:t>
      </w:r>
      <w:r w:rsidR="6795CD4D" w:rsidRPr="3FC870CB">
        <w:rPr>
          <w:rFonts w:cs="Arial"/>
          <w:i/>
          <w:iCs/>
          <w:sz w:val="21"/>
          <w:szCs w:val="21"/>
        </w:rPr>
        <w:t xml:space="preserve">Shire of Nillumbik’s </w:t>
      </w:r>
      <w:r w:rsidRPr="3FC870CB">
        <w:rPr>
          <w:rFonts w:cs="Arial"/>
          <w:i/>
          <w:iCs/>
          <w:sz w:val="21"/>
          <w:szCs w:val="21"/>
        </w:rPr>
        <w:t xml:space="preserve">cultural </w:t>
      </w:r>
      <w:r w:rsidR="00DC40F3" w:rsidRPr="3FC870CB">
        <w:rPr>
          <w:rFonts w:cs="Arial"/>
          <w:i/>
          <w:iCs/>
          <w:sz w:val="21"/>
          <w:szCs w:val="21"/>
        </w:rPr>
        <w:t xml:space="preserve">or natural </w:t>
      </w:r>
      <w:r w:rsidRPr="3FC870CB">
        <w:rPr>
          <w:rFonts w:cs="Arial"/>
          <w:i/>
          <w:iCs/>
          <w:sz w:val="21"/>
          <w:szCs w:val="21"/>
        </w:rPr>
        <w:t>history</w:t>
      </w:r>
      <w:r w:rsidR="003F57F8" w:rsidRPr="3FC870CB">
        <w:rPr>
          <w:rFonts w:cs="Arial"/>
          <w:i/>
          <w:iCs/>
          <w:sz w:val="21"/>
          <w:szCs w:val="21"/>
        </w:rPr>
        <w:t xml:space="preserve"> (rarity)</w:t>
      </w:r>
      <w:r w:rsidRPr="3FC870CB">
        <w:rPr>
          <w:rFonts w:cs="Arial"/>
          <w:i/>
          <w:iCs/>
          <w:sz w:val="21"/>
          <w:szCs w:val="21"/>
        </w:rPr>
        <w:t>.</w:t>
      </w:r>
    </w:p>
    <w:p w14:paraId="1EBAC816" w14:textId="77777777" w:rsidR="00A443BF" w:rsidRDefault="00A443BF" w:rsidP="0053253F">
      <w:pPr>
        <w:rPr>
          <w:rFonts w:cs="Arial"/>
          <w:sz w:val="21"/>
          <w:szCs w:val="21"/>
        </w:rPr>
      </w:pPr>
    </w:p>
    <w:p w14:paraId="0ECC901F" w14:textId="77777777" w:rsidR="003F57F8" w:rsidRPr="00533CF2" w:rsidRDefault="003F57F8" w:rsidP="0053253F">
      <w:pPr>
        <w:rPr>
          <w:rFonts w:cs="Arial"/>
          <w:i/>
          <w:sz w:val="21"/>
          <w:szCs w:val="21"/>
        </w:rPr>
      </w:pPr>
    </w:p>
    <w:p w14:paraId="58C1B147" w14:textId="5446C079" w:rsidR="00A443BF" w:rsidRPr="00533CF2" w:rsidRDefault="00A443BF" w:rsidP="3FC870CB">
      <w:pPr>
        <w:rPr>
          <w:rFonts w:cs="Arial"/>
          <w:i/>
          <w:iCs/>
          <w:sz w:val="21"/>
          <w:szCs w:val="21"/>
        </w:rPr>
      </w:pPr>
      <w:r w:rsidRPr="3FC870CB">
        <w:rPr>
          <w:rFonts w:cs="Arial"/>
          <w:i/>
          <w:iCs/>
          <w:sz w:val="21"/>
          <w:szCs w:val="21"/>
        </w:rPr>
        <w:t xml:space="preserve">CRITERION C: Potential to yield information that will contribute to an understanding of </w:t>
      </w:r>
      <w:r w:rsidR="00894C12" w:rsidRPr="3FC870CB">
        <w:rPr>
          <w:rFonts w:cs="Arial"/>
          <w:i/>
          <w:iCs/>
          <w:sz w:val="21"/>
          <w:szCs w:val="21"/>
        </w:rPr>
        <w:t xml:space="preserve">the </w:t>
      </w:r>
      <w:r w:rsidR="0EDDFB89" w:rsidRPr="3FC870CB">
        <w:rPr>
          <w:rFonts w:cs="Arial"/>
          <w:i/>
          <w:iCs/>
          <w:sz w:val="21"/>
          <w:szCs w:val="21"/>
        </w:rPr>
        <w:t xml:space="preserve">Shire of Nillumbik’s </w:t>
      </w:r>
      <w:r w:rsidRPr="3FC870CB">
        <w:rPr>
          <w:rFonts w:cs="Arial"/>
          <w:i/>
          <w:iCs/>
          <w:sz w:val="21"/>
          <w:szCs w:val="21"/>
        </w:rPr>
        <w:t>cultural</w:t>
      </w:r>
      <w:r w:rsidR="00FC7300" w:rsidRPr="3FC870CB">
        <w:rPr>
          <w:rFonts w:cs="Arial"/>
          <w:i/>
          <w:iCs/>
          <w:sz w:val="21"/>
          <w:szCs w:val="21"/>
        </w:rPr>
        <w:t xml:space="preserve"> or natural</w:t>
      </w:r>
      <w:r w:rsidRPr="3FC870CB">
        <w:rPr>
          <w:rFonts w:cs="Arial"/>
          <w:i/>
          <w:iCs/>
          <w:sz w:val="21"/>
          <w:szCs w:val="21"/>
        </w:rPr>
        <w:t xml:space="preserve"> history</w:t>
      </w:r>
      <w:r w:rsidR="003F57F8" w:rsidRPr="3FC870CB">
        <w:rPr>
          <w:rFonts w:cs="Arial"/>
          <w:i/>
          <w:iCs/>
          <w:sz w:val="21"/>
          <w:szCs w:val="21"/>
        </w:rPr>
        <w:t xml:space="preserve"> (research potential)</w:t>
      </w:r>
      <w:r w:rsidRPr="3FC870CB">
        <w:rPr>
          <w:rFonts w:cs="Arial"/>
          <w:i/>
          <w:iCs/>
          <w:sz w:val="21"/>
          <w:szCs w:val="21"/>
        </w:rPr>
        <w:t>.</w:t>
      </w:r>
    </w:p>
    <w:p w14:paraId="19BADD97" w14:textId="77777777" w:rsidR="00A443BF" w:rsidRPr="00533CF2" w:rsidRDefault="00A443BF" w:rsidP="0053253F">
      <w:pPr>
        <w:rPr>
          <w:rFonts w:cs="Arial"/>
          <w:sz w:val="21"/>
          <w:szCs w:val="21"/>
        </w:rPr>
      </w:pPr>
    </w:p>
    <w:p w14:paraId="458BE668" w14:textId="77777777" w:rsidR="003F57F8" w:rsidRPr="00533CF2" w:rsidRDefault="003F57F8" w:rsidP="0053253F">
      <w:pPr>
        <w:rPr>
          <w:rFonts w:cs="Arial"/>
          <w:i/>
          <w:sz w:val="21"/>
          <w:szCs w:val="21"/>
        </w:rPr>
      </w:pPr>
    </w:p>
    <w:p w14:paraId="23130411" w14:textId="77777777" w:rsidR="00A443BF" w:rsidRPr="00533CF2" w:rsidRDefault="00A443BF" w:rsidP="0053253F">
      <w:pPr>
        <w:rPr>
          <w:rFonts w:cs="Arial"/>
          <w:i/>
          <w:sz w:val="21"/>
          <w:szCs w:val="21"/>
        </w:rPr>
      </w:pPr>
      <w:r w:rsidRPr="00533CF2">
        <w:rPr>
          <w:rFonts w:cs="Arial"/>
          <w:i/>
          <w:sz w:val="21"/>
          <w:szCs w:val="21"/>
        </w:rPr>
        <w:t xml:space="preserve">CRITERION D: Importance in demonstrating the principal characteristics of a class of cultural </w:t>
      </w:r>
      <w:r w:rsidR="00FC7300">
        <w:rPr>
          <w:rFonts w:cs="Arial"/>
          <w:i/>
          <w:sz w:val="21"/>
          <w:szCs w:val="21"/>
        </w:rPr>
        <w:t xml:space="preserve">or natural </w:t>
      </w:r>
      <w:r w:rsidRPr="00533CF2">
        <w:rPr>
          <w:rFonts w:cs="Arial"/>
          <w:i/>
          <w:sz w:val="21"/>
          <w:szCs w:val="21"/>
        </w:rPr>
        <w:t xml:space="preserve">places </w:t>
      </w:r>
      <w:r w:rsidR="00FC7300">
        <w:rPr>
          <w:rFonts w:cs="Arial"/>
          <w:i/>
          <w:sz w:val="21"/>
          <w:szCs w:val="21"/>
        </w:rPr>
        <w:t>or</w:t>
      </w:r>
      <w:r w:rsidRPr="00533CF2">
        <w:rPr>
          <w:rFonts w:cs="Arial"/>
          <w:i/>
          <w:sz w:val="21"/>
          <w:szCs w:val="21"/>
        </w:rPr>
        <w:t xml:space="preserve"> </w:t>
      </w:r>
      <w:r w:rsidR="00FC7300">
        <w:rPr>
          <w:rFonts w:cs="Arial"/>
          <w:i/>
          <w:sz w:val="21"/>
          <w:szCs w:val="21"/>
        </w:rPr>
        <w:t>environments</w:t>
      </w:r>
      <w:r w:rsidR="003F57F8" w:rsidRPr="00533CF2">
        <w:rPr>
          <w:rFonts w:cs="Arial"/>
          <w:i/>
          <w:sz w:val="21"/>
          <w:szCs w:val="21"/>
        </w:rPr>
        <w:t xml:space="preserve"> (representativeness)</w:t>
      </w:r>
      <w:r w:rsidRPr="00533CF2">
        <w:rPr>
          <w:rFonts w:cs="Arial"/>
          <w:i/>
          <w:sz w:val="21"/>
          <w:szCs w:val="21"/>
        </w:rPr>
        <w:t>.</w:t>
      </w:r>
    </w:p>
    <w:p w14:paraId="2B8FC350" w14:textId="77777777" w:rsidR="0030501C" w:rsidRDefault="0030501C" w:rsidP="0053253F">
      <w:pPr>
        <w:rPr>
          <w:rFonts w:cs="Arial"/>
          <w:sz w:val="21"/>
          <w:szCs w:val="21"/>
          <w:highlight w:val="yellow"/>
        </w:rPr>
      </w:pPr>
    </w:p>
    <w:p w14:paraId="75605924" w14:textId="77777777" w:rsidR="00B17B59" w:rsidRPr="00B17B59" w:rsidRDefault="00B17B59" w:rsidP="0053253F">
      <w:pPr>
        <w:rPr>
          <w:rFonts w:cs="Arial"/>
          <w:sz w:val="21"/>
          <w:szCs w:val="21"/>
        </w:rPr>
      </w:pPr>
    </w:p>
    <w:p w14:paraId="0C48B03E" w14:textId="77777777" w:rsidR="00A443BF" w:rsidRPr="00533CF2" w:rsidRDefault="00A443BF" w:rsidP="0053253F">
      <w:pPr>
        <w:rPr>
          <w:rFonts w:cs="Arial"/>
          <w:i/>
          <w:sz w:val="21"/>
          <w:szCs w:val="21"/>
        </w:rPr>
      </w:pPr>
      <w:r w:rsidRPr="003F6BA2">
        <w:rPr>
          <w:rFonts w:cs="Arial"/>
          <w:i/>
          <w:sz w:val="21"/>
          <w:szCs w:val="21"/>
        </w:rPr>
        <w:t>CRITERION E: Importance</w:t>
      </w:r>
      <w:r w:rsidRPr="00692627">
        <w:rPr>
          <w:rFonts w:cs="Arial"/>
          <w:i/>
          <w:sz w:val="21"/>
          <w:szCs w:val="21"/>
        </w:rPr>
        <w:t xml:space="preserve"> in exhibiting particular aesthetic characteristics</w:t>
      </w:r>
      <w:r w:rsidR="003F57F8" w:rsidRPr="00692627">
        <w:rPr>
          <w:rFonts w:cs="Arial"/>
          <w:i/>
          <w:sz w:val="21"/>
          <w:szCs w:val="21"/>
        </w:rPr>
        <w:t xml:space="preserve"> (aesthetic significance)</w:t>
      </w:r>
      <w:r w:rsidRPr="00692627">
        <w:rPr>
          <w:rFonts w:cs="Arial"/>
          <w:i/>
          <w:sz w:val="21"/>
          <w:szCs w:val="21"/>
        </w:rPr>
        <w:t>.</w:t>
      </w:r>
    </w:p>
    <w:p w14:paraId="02CD8DBB" w14:textId="77777777" w:rsidR="00A443BF" w:rsidRDefault="00A443BF" w:rsidP="0053253F">
      <w:pPr>
        <w:rPr>
          <w:rFonts w:cs="Arial"/>
          <w:sz w:val="21"/>
          <w:szCs w:val="21"/>
        </w:rPr>
      </w:pPr>
    </w:p>
    <w:p w14:paraId="571688F8" w14:textId="0F417230" w:rsidR="00603713" w:rsidRPr="00533CF2" w:rsidRDefault="00603713" w:rsidP="0053253F">
      <w:pPr>
        <w:rPr>
          <w:rFonts w:cs="Arial"/>
          <w:sz w:val="21"/>
          <w:szCs w:val="21"/>
        </w:rPr>
      </w:pPr>
      <w:r>
        <w:rPr>
          <w:rFonts w:cs="Arial"/>
          <w:sz w:val="21"/>
          <w:szCs w:val="21"/>
        </w:rPr>
        <w:t xml:space="preserve">The house at 130 Laughing Waters Road is a significant example of a </w:t>
      </w:r>
      <w:r w:rsidR="00910D9B">
        <w:rPr>
          <w:rFonts w:cs="Arial"/>
          <w:sz w:val="21"/>
          <w:szCs w:val="21"/>
        </w:rPr>
        <w:t>well-designed, modestly sized house constructed in the Shire during the late 1960s</w:t>
      </w:r>
      <w:r w:rsidR="00AD3679">
        <w:rPr>
          <w:rFonts w:cs="Arial"/>
          <w:sz w:val="21"/>
          <w:szCs w:val="21"/>
        </w:rPr>
        <w:t xml:space="preserve"> and designed by Alistair Knox</w:t>
      </w:r>
      <w:r w:rsidR="00910D9B">
        <w:rPr>
          <w:rFonts w:cs="Arial"/>
          <w:sz w:val="21"/>
          <w:szCs w:val="21"/>
        </w:rPr>
        <w:t>. The house’s curved floorplan</w:t>
      </w:r>
      <w:r w:rsidR="009F5884">
        <w:rPr>
          <w:rFonts w:cs="Arial"/>
          <w:sz w:val="21"/>
          <w:szCs w:val="21"/>
        </w:rPr>
        <w:t xml:space="preserve"> and use of recycled materials</w:t>
      </w:r>
      <w:r w:rsidR="00A91290">
        <w:rPr>
          <w:rFonts w:cs="Arial"/>
          <w:sz w:val="21"/>
          <w:szCs w:val="21"/>
        </w:rPr>
        <w:t>, in this case brick</w:t>
      </w:r>
      <w:r w:rsidR="000C7F9D">
        <w:rPr>
          <w:rFonts w:cs="Arial"/>
          <w:sz w:val="21"/>
          <w:szCs w:val="21"/>
        </w:rPr>
        <w:t>,</w:t>
      </w:r>
      <w:r w:rsidR="009F5884">
        <w:rPr>
          <w:rFonts w:cs="Arial"/>
          <w:sz w:val="21"/>
          <w:szCs w:val="21"/>
        </w:rPr>
        <w:t xml:space="preserve"> are characteristics of Alistair Knox’s work, and the type of architecture being promulgated in Nillumbik at the time. The house’s</w:t>
      </w:r>
      <w:r w:rsidR="001C0BCB">
        <w:rPr>
          <w:rFonts w:cs="Arial"/>
          <w:sz w:val="21"/>
          <w:szCs w:val="21"/>
        </w:rPr>
        <w:t xml:space="preserve"> expert positioning on a</w:t>
      </w:r>
      <w:r w:rsidR="009F5884">
        <w:rPr>
          <w:rFonts w:cs="Arial"/>
          <w:sz w:val="21"/>
          <w:szCs w:val="21"/>
        </w:rPr>
        <w:t xml:space="preserve"> dramatic</w:t>
      </w:r>
      <w:r w:rsidR="001C0BCB">
        <w:rPr>
          <w:rFonts w:cs="Arial"/>
          <w:sz w:val="21"/>
          <w:szCs w:val="21"/>
        </w:rPr>
        <w:t xml:space="preserve">, </w:t>
      </w:r>
      <w:r w:rsidR="009F5884">
        <w:rPr>
          <w:rFonts w:cs="Arial"/>
          <w:sz w:val="21"/>
          <w:szCs w:val="21"/>
        </w:rPr>
        <w:t xml:space="preserve">heavily vegetated sloping block above the Yarra River </w:t>
      </w:r>
      <w:r w:rsidR="001C0BCB">
        <w:rPr>
          <w:rFonts w:cs="Arial"/>
          <w:sz w:val="21"/>
          <w:szCs w:val="21"/>
        </w:rPr>
        <w:t xml:space="preserve">substantially </w:t>
      </w:r>
      <w:r w:rsidR="00AE0FB1">
        <w:rPr>
          <w:rFonts w:cs="Arial"/>
          <w:sz w:val="21"/>
          <w:szCs w:val="21"/>
        </w:rPr>
        <w:t>enhances the aesthetic quality of the place.</w:t>
      </w:r>
    </w:p>
    <w:p w14:paraId="22C2F03D" w14:textId="77777777" w:rsidR="00104F1F" w:rsidRPr="00533CF2" w:rsidRDefault="00104F1F" w:rsidP="0053253F">
      <w:pPr>
        <w:rPr>
          <w:rFonts w:cs="Arial"/>
          <w:i/>
          <w:sz w:val="21"/>
          <w:szCs w:val="21"/>
        </w:rPr>
      </w:pPr>
    </w:p>
    <w:p w14:paraId="2B871B92" w14:textId="77777777" w:rsidR="00A443BF" w:rsidRPr="00533CF2" w:rsidRDefault="00A443BF" w:rsidP="0053253F">
      <w:pPr>
        <w:rPr>
          <w:rFonts w:cs="Arial"/>
          <w:i/>
          <w:sz w:val="21"/>
          <w:szCs w:val="21"/>
        </w:rPr>
      </w:pPr>
      <w:r w:rsidRPr="00533CF2">
        <w:rPr>
          <w:rFonts w:cs="Arial"/>
          <w:i/>
          <w:sz w:val="21"/>
          <w:szCs w:val="21"/>
        </w:rPr>
        <w:t>CRITERION F: Importance in demonstrating a high degree of creative or technical achievement at a particular period</w:t>
      </w:r>
      <w:r w:rsidR="003F57F8" w:rsidRPr="00533CF2">
        <w:rPr>
          <w:rFonts w:cs="Arial"/>
          <w:i/>
          <w:sz w:val="21"/>
          <w:szCs w:val="21"/>
        </w:rPr>
        <w:t xml:space="preserve"> (technical significance)</w:t>
      </w:r>
      <w:r w:rsidRPr="00533CF2">
        <w:rPr>
          <w:rFonts w:cs="Arial"/>
          <w:i/>
          <w:sz w:val="21"/>
          <w:szCs w:val="21"/>
        </w:rPr>
        <w:t>.</w:t>
      </w:r>
    </w:p>
    <w:p w14:paraId="79397E7C" w14:textId="77777777" w:rsidR="00A443BF" w:rsidRPr="00533CF2" w:rsidRDefault="00A443BF" w:rsidP="0053253F">
      <w:pPr>
        <w:rPr>
          <w:rFonts w:cs="Arial"/>
          <w:sz w:val="21"/>
          <w:szCs w:val="21"/>
        </w:rPr>
      </w:pPr>
    </w:p>
    <w:p w14:paraId="48DD0C4E" w14:textId="77777777" w:rsidR="003F57F8" w:rsidRPr="00533CF2" w:rsidRDefault="003F57F8" w:rsidP="0053253F">
      <w:pPr>
        <w:rPr>
          <w:rFonts w:cs="Arial"/>
          <w:i/>
          <w:sz w:val="21"/>
          <w:szCs w:val="21"/>
        </w:rPr>
      </w:pPr>
    </w:p>
    <w:p w14:paraId="632DD5EA" w14:textId="77777777" w:rsidR="00A443BF" w:rsidRPr="00533CF2" w:rsidRDefault="00A443BF" w:rsidP="0053253F">
      <w:pPr>
        <w:rPr>
          <w:rFonts w:cs="Arial"/>
          <w:i/>
          <w:sz w:val="21"/>
          <w:szCs w:val="21"/>
        </w:rPr>
      </w:pPr>
      <w:r w:rsidRPr="00533CF2">
        <w:rPr>
          <w:rFonts w:cs="Arial"/>
          <w:i/>
          <w:sz w:val="21"/>
          <w:szCs w:val="21"/>
        </w:rPr>
        <w:t>CRITERION G: Strong or special association with a particular community or cultural group for social, cultural or spiritual reasons. This includes the significance of a place to Indigenous peoples as part of their continuing and developing cultural traditions</w:t>
      </w:r>
      <w:r w:rsidR="003F57F8" w:rsidRPr="00533CF2">
        <w:rPr>
          <w:rFonts w:cs="Arial"/>
          <w:i/>
          <w:sz w:val="21"/>
          <w:szCs w:val="21"/>
        </w:rPr>
        <w:t xml:space="preserve"> (social significance)</w:t>
      </w:r>
      <w:r w:rsidRPr="00533CF2">
        <w:rPr>
          <w:rFonts w:cs="Arial"/>
          <w:i/>
          <w:sz w:val="21"/>
          <w:szCs w:val="21"/>
        </w:rPr>
        <w:t>.</w:t>
      </w:r>
    </w:p>
    <w:p w14:paraId="294CE67B" w14:textId="50D8E8CC" w:rsidR="00437685" w:rsidRDefault="00437685" w:rsidP="0053253F">
      <w:pPr>
        <w:rPr>
          <w:rFonts w:cs="Arial"/>
          <w:i/>
          <w:sz w:val="21"/>
          <w:szCs w:val="21"/>
        </w:rPr>
      </w:pPr>
    </w:p>
    <w:p w14:paraId="2C67C688" w14:textId="77777777" w:rsidR="006E17E9" w:rsidRPr="00533CF2" w:rsidRDefault="006E17E9" w:rsidP="0053253F">
      <w:pPr>
        <w:rPr>
          <w:rFonts w:cs="Arial"/>
          <w:i/>
          <w:sz w:val="21"/>
          <w:szCs w:val="21"/>
        </w:rPr>
      </w:pPr>
    </w:p>
    <w:p w14:paraId="0632C55E" w14:textId="71BBDAD8" w:rsidR="00A443BF" w:rsidRDefault="00A443BF" w:rsidP="3FC870CB">
      <w:pPr>
        <w:rPr>
          <w:rFonts w:cs="Arial"/>
          <w:i/>
          <w:iCs/>
          <w:sz w:val="21"/>
          <w:szCs w:val="21"/>
        </w:rPr>
      </w:pPr>
      <w:r w:rsidRPr="3FC870CB">
        <w:rPr>
          <w:rFonts w:cs="Arial"/>
          <w:i/>
          <w:iCs/>
          <w:sz w:val="21"/>
          <w:szCs w:val="21"/>
        </w:rPr>
        <w:t xml:space="preserve">CRITERION H: Special association with the life or works of a person, or group of persons, of importance </w:t>
      </w:r>
      <w:r w:rsidR="00FC7300" w:rsidRPr="3FC870CB">
        <w:rPr>
          <w:rFonts w:cs="Arial"/>
          <w:i/>
          <w:iCs/>
          <w:sz w:val="21"/>
          <w:szCs w:val="21"/>
        </w:rPr>
        <w:t xml:space="preserve">in the </w:t>
      </w:r>
      <w:r w:rsidR="220D4FF4" w:rsidRPr="3FC870CB">
        <w:rPr>
          <w:rFonts w:cs="Arial"/>
          <w:i/>
          <w:iCs/>
          <w:sz w:val="21"/>
          <w:szCs w:val="21"/>
        </w:rPr>
        <w:t>Shire of Nillumbik’s</w:t>
      </w:r>
      <w:r w:rsidR="00FC7300" w:rsidRPr="3FC870CB">
        <w:rPr>
          <w:rFonts w:cs="Arial"/>
          <w:i/>
          <w:iCs/>
          <w:sz w:val="21"/>
          <w:szCs w:val="21"/>
        </w:rPr>
        <w:t xml:space="preserve"> history</w:t>
      </w:r>
      <w:r w:rsidR="003F57F8" w:rsidRPr="3FC870CB">
        <w:rPr>
          <w:rFonts w:cs="Arial"/>
          <w:i/>
          <w:iCs/>
          <w:sz w:val="21"/>
          <w:szCs w:val="21"/>
        </w:rPr>
        <w:t xml:space="preserve"> (associative significance)</w:t>
      </w:r>
      <w:r w:rsidRPr="3FC870CB">
        <w:rPr>
          <w:rFonts w:cs="Arial"/>
          <w:i/>
          <w:iCs/>
          <w:sz w:val="21"/>
          <w:szCs w:val="21"/>
        </w:rPr>
        <w:t>.</w:t>
      </w:r>
    </w:p>
    <w:p w14:paraId="7EE1D690" w14:textId="77777777" w:rsidR="006E17E9" w:rsidRDefault="006E17E9" w:rsidP="0053253F">
      <w:pPr>
        <w:rPr>
          <w:rFonts w:cs="Arial"/>
          <w:sz w:val="21"/>
          <w:szCs w:val="21"/>
        </w:rPr>
      </w:pPr>
    </w:p>
    <w:p w14:paraId="66B73E4A" w14:textId="77777777" w:rsidR="006E17E9" w:rsidRDefault="006E17E9" w:rsidP="0053253F">
      <w:pPr>
        <w:rPr>
          <w:rFonts w:cs="Arial"/>
          <w:b/>
          <w:sz w:val="21"/>
          <w:szCs w:val="21"/>
        </w:rPr>
      </w:pPr>
    </w:p>
    <w:p w14:paraId="2C6EAE08" w14:textId="77777777" w:rsidR="00FF13B9" w:rsidRDefault="00FF13B9">
      <w:pPr>
        <w:overflowPunct/>
        <w:autoSpaceDE/>
        <w:autoSpaceDN/>
        <w:adjustRightInd/>
        <w:jc w:val="left"/>
        <w:textAlignment w:val="auto"/>
        <w:rPr>
          <w:rFonts w:cs="Arial"/>
          <w:b/>
          <w:sz w:val="21"/>
          <w:szCs w:val="21"/>
        </w:rPr>
      </w:pPr>
      <w:r>
        <w:rPr>
          <w:rFonts w:cs="Arial"/>
          <w:b/>
          <w:sz w:val="21"/>
          <w:szCs w:val="21"/>
        </w:rPr>
        <w:br w:type="page"/>
      </w:r>
    </w:p>
    <w:p w14:paraId="70CD0688" w14:textId="603884BD" w:rsidR="00FF13B9" w:rsidRDefault="00FF13B9">
      <w:pPr>
        <w:overflowPunct/>
        <w:autoSpaceDE/>
        <w:autoSpaceDN/>
        <w:adjustRightInd/>
        <w:jc w:val="left"/>
        <w:textAlignment w:val="auto"/>
        <w:rPr>
          <w:rFonts w:cs="Arial"/>
          <w:b/>
          <w:sz w:val="21"/>
          <w:szCs w:val="21"/>
        </w:rPr>
      </w:pPr>
    </w:p>
    <w:p w14:paraId="3C813A76" w14:textId="2D17455F" w:rsidR="00F0333B" w:rsidRPr="00533CF2" w:rsidRDefault="00F0333B" w:rsidP="0053253F">
      <w:pPr>
        <w:rPr>
          <w:rFonts w:cs="Arial"/>
          <w:b/>
          <w:sz w:val="21"/>
          <w:szCs w:val="21"/>
        </w:rPr>
      </w:pPr>
      <w:r w:rsidRPr="00533CF2">
        <w:rPr>
          <w:rFonts w:cs="Arial"/>
          <w:b/>
          <w:sz w:val="21"/>
          <w:szCs w:val="21"/>
        </w:rPr>
        <w:t xml:space="preserve">Grading </w:t>
      </w:r>
      <w:r w:rsidR="001517D4" w:rsidRPr="00533CF2">
        <w:rPr>
          <w:rFonts w:cs="Arial"/>
          <w:b/>
          <w:sz w:val="21"/>
          <w:szCs w:val="21"/>
        </w:rPr>
        <w:t xml:space="preserve">and </w:t>
      </w:r>
      <w:r w:rsidRPr="00533CF2">
        <w:rPr>
          <w:rFonts w:cs="Arial"/>
          <w:b/>
          <w:sz w:val="21"/>
          <w:szCs w:val="21"/>
        </w:rPr>
        <w:t>Recommendations</w:t>
      </w:r>
    </w:p>
    <w:p w14:paraId="44AC8773" w14:textId="77777777" w:rsidR="004E6328" w:rsidRPr="00533CF2" w:rsidRDefault="004E6328" w:rsidP="0053253F">
      <w:pPr>
        <w:rPr>
          <w:rFonts w:cs="Arial"/>
          <w:sz w:val="21"/>
          <w:szCs w:val="21"/>
        </w:rPr>
      </w:pPr>
    </w:p>
    <w:p w14:paraId="727654B4" w14:textId="084B5B16" w:rsidR="00555A65" w:rsidRDefault="00555A65" w:rsidP="3FC870CB">
      <w:pPr>
        <w:rPr>
          <w:rFonts w:cs="Arial"/>
          <w:sz w:val="21"/>
          <w:szCs w:val="21"/>
        </w:rPr>
      </w:pPr>
      <w:r w:rsidRPr="3FC870CB">
        <w:rPr>
          <w:rFonts w:cs="Arial"/>
          <w:sz w:val="21"/>
          <w:szCs w:val="21"/>
        </w:rPr>
        <w:t>Recommended for inclusion in the schedule to the Heritage Overlay of the Nillumbik</w:t>
      </w:r>
      <w:r w:rsidRPr="3FC870CB">
        <w:rPr>
          <w:rFonts w:cs="Arial"/>
          <w:sz w:val="21"/>
          <w:szCs w:val="21"/>
          <w:highlight w:val="yellow"/>
        </w:rPr>
        <w:t xml:space="preserve"> </w:t>
      </w:r>
      <w:r w:rsidRPr="3FC870CB">
        <w:rPr>
          <w:rFonts w:cs="Arial"/>
          <w:sz w:val="21"/>
          <w:szCs w:val="21"/>
        </w:rPr>
        <w:t>Planning Scheme.</w:t>
      </w:r>
    </w:p>
    <w:p w14:paraId="09F9F76B" w14:textId="691A8A69" w:rsidR="004E6328" w:rsidRPr="00533CF2" w:rsidRDefault="006E17E9" w:rsidP="3FC870CB">
      <w:pPr>
        <w:rPr>
          <w:rFonts w:eastAsia="Arial" w:cs="Arial"/>
          <w:sz w:val="21"/>
          <w:szCs w:val="21"/>
        </w:rPr>
      </w:pPr>
      <w:r>
        <w:br/>
      </w:r>
      <w:r>
        <w:br/>
      </w:r>
      <w:r w:rsidR="075196F8" w:rsidRPr="3FC870CB">
        <w:rPr>
          <w:rFonts w:eastAsia="Arial" w:cs="Arial"/>
          <w:color w:val="000000" w:themeColor="text1"/>
          <w:sz w:val="21"/>
          <w:szCs w:val="21"/>
        </w:rPr>
        <w:t xml:space="preserve">Recommendations for the Schedule to the Heritage Overlay (Clause 43.01) in the </w:t>
      </w:r>
      <w:r w:rsidR="00555A65" w:rsidRPr="3FC870CB">
        <w:rPr>
          <w:rFonts w:eastAsia="Arial" w:cs="Arial"/>
          <w:color w:val="000000" w:themeColor="text1"/>
          <w:sz w:val="21"/>
          <w:szCs w:val="21"/>
        </w:rPr>
        <w:t>Nillumbik</w:t>
      </w:r>
      <w:r w:rsidR="075196F8" w:rsidRPr="3FC870CB">
        <w:rPr>
          <w:rFonts w:eastAsia="Arial" w:cs="Arial"/>
          <w:color w:val="000000" w:themeColor="text1"/>
          <w:sz w:val="21"/>
          <w:szCs w:val="21"/>
        </w:rPr>
        <w:t xml:space="preserve"> Planning Scheme:</w:t>
      </w:r>
    </w:p>
    <w:p w14:paraId="29D524AA" w14:textId="7DFFC29C" w:rsidR="004E6328" w:rsidRPr="00533CF2" w:rsidRDefault="004E6328" w:rsidP="3FC870CB">
      <w:pPr>
        <w:rPr>
          <w:sz w:val="21"/>
          <w:szCs w:val="21"/>
        </w:rPr>
      </w:pPr>
    </w:p>
    <w:p w14:paraId="70EC5816" w14:textId="77777777" w:rsidR="0007686E" w:rsidRPr="00533CF2" w:rsidRDefault="0007686E" w:rsidP="0053253F">
      <w:pPr>
        <w:rPr>
          <w:rFonts w:cs="Arial"/>
          <w:sz w:val="21"/>
          <w:szCs w:val="21"/>
        </w:rPr>
      </w:pPr>
    </w:p>
    <w:tbl>
      <w:tblPr>
        <w:tblW w:w="0" w:type="auto"/>
        <w:tblLayout w:type="fixed"/>
        <w:tblLook w:val="04A0" w:firstRow="1" w:lastRow="0" w:firstColumn="1" w:lastColumn="0" w:noHBand="0" w:noVBand="1"/>
      </w:tblPr>
      <w:tblGrid>
        <w:gridCol w:w="6053"/>
        <w:gridCol w:w="2242"/>
      </w:tblGrid>
      <w:tr w:rsidR="3FC870CB" w14:paraId="4C5BC047" w14:textId="77777777" w:rsidTr="7F4B7FF6">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28052CD6" w14:textId="0199C2F5"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External Paint Colours </w:t>
            </w:r>
          </w:p>
          <w:p w14:paraId="084DF574" w14:textId="74B9D742"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to paint an already painted surface?</w:t>
            </w:r>
          </w:p>
        </w:tc>
        <w:tc>
          <w:tcPr>
            <w:tcW w:w="2242" w:type="dxa"/>
            <w:tcBorders>
              <w:top w:val="single" w:sz="6" w:space="0" w:color="auto"/>
              <w:left w:val="single" w:sz="6" w:space="0" w:color="auto"/>
              <w:bottom w:val="single" w:sz="6" w:space="0" w:color="auto"/>
              <w:right w:val="single" w:sz="6" w:space="0" w:color="auto"/>
            </w:tcBorders>
            <w:vAlign w:val="center"/>
          </w:tcPr>
          <w:p w14:paraId="6FE30565" w14:textId="764B6DFC" w:rsidR="0D33FB3A" w:rsidRDefault="7F4B7FF6" w:rsidP="7F4B7FF6">
            <w:pPr>
              <w:spacing w:line="259" w:lineRule="auto"/>
              <w:jc w:val="left"/>
              <w:rPr>
                <w:color w:val="000000" w:themeColor="text1"/>
                <w:sz w:val="21"/>
                <w:szCs w:val="21"/>
              </w:rPr>
            </w:pPr>
            <w:r w:rsidRPr="7F4B7FF6">
              <w:rPr>
                <w:rFonts w:eastAsia="Arial" w:cs="Arial"/>
                <w:color w:val="000000" w:themeColor="text1"/>
                <w:sz w:val="21"/>
                <w:szCs w:val="21"/>
              </w:rPr>
              <w:t>No</w:t>
            </w:r>
          </w:p>
        </w:tc>
      </w:tr>
      <w:tr w:rsidR="3FC870CB" w14:paraId="762BEE28" w14:textId="77777777" w:rsidTr="7F4B7FF6">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5C518460" w14:textId="646AA7C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Internal Alteration Controls </w:t>
            </w:r>
          </w:p>
          <w:p w14:paraId="63488B45" w14:textId="16918C10"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for internal alterations?</w:t>
            </w:r>
          </w:p>
        </w:tc>
        <w:tc>
          <w:tcPr>
            <w:tcW w:w="2242" w:type="dxa"/>
            <w:tcBorders>
              <w:top w:val="single" w:sz="6" w:space="0" w:color="auto"/>
              <w:left w:val="single" w:sz="6" w:space="0" w:color="auto"/>
              <w:bottom w:val="single" w:sz="6" w:space="0" w:color="auto"/>
              <w:right w:val="single" w:sz="6" w:space="0" w:color="auto"/>
            </w:tcBorders>
            <w:vAlign w:val="center"/>
          </w:tcPr>
          <w:p w14:paraId="3ECA4109" w14:textId="18ECCC1A" w:rsidR="3FC870CB" w:rsidRDefault="00ED378D"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7C2E648C" w14:textId="77777777" w:rsidTr="7F4B7FF6">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62B02D6" w14:textId="132DE1D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Tree Controls </w:t>
            </w:r>
          </w:p>
          <w:p w14:paraId="056336C2" w14:textId="499E4626"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to remove a tree?</w:t>
            </w:r>
          </w:p>
        </w:tc>
        <w:tc>
          <w:tcPr>
            <w:tcW w:w="2242" w:type="dxa"/>
            <w:tcBorders>
              <w:top w:val="single" w:sz="6" w:space="0" w:color="auto"/>
              <w:left w:val="single" w:sz="6" w:space="0" w:color="auto"/>
              <w:bottom w:val="single" w:sz="6" w:space="0" w:color="auto"/>
              <w:right w:val="single" w:sz="6" w:space="0" w:color="auto"/>
            </w:tcBorders>
            <w:vAlign w:val="center"/>
          </w:tcPr>
          <w:p w14:paraId="3852C90F" w14:textId="0307089A" w:rsidR="3FC870CB" w:rsidRDefault="00ED378D"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7CCD60ED" w14:textId="77777777" w:rsidTr="7F4B7FF6">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A72CCE2" w14:textId="57BCC46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Victorian Heritage Register</w:t>
            </w:r>
          </w:p>
          <w:p w14:paraId="6A6B14DB" w14:textId="4A0C234D"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the place included on the Victorian Heritage Register?</w:t>
            </w:r>
          </w:p>
        </w:tc>
        <w:tc>
          <w:tcPr>
            <w:tcW w:w="2242" w:type="dxa"/>
            <w:tcBorders>
              <w:top w:val="single" w:sz="6" w:space="0" w:color="auto"/>
              <w:left w:val="single" w:sz="6" w:space="0" w:color="auto"/>
              <w:bottom w:val="single" w:sz="6" w:space="0" w:color="auto"/>
              <w:right w:val="single" w:sz="6" w:space="0" w:color="auto"/>
            </w:tcBorders>
            <w:vAlign w:val="center"/>
          </w:tcPr>
          <w:p w14:paraId="46BDF8F0" w14:textId="528ED754" w:rsidR="3FC870CB" w:rsidRDefault="00ED378D"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33D8D367" w14:textId="77777777" w:rsidTr="7F4B7FF6">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437D71C" w14:textId="354C5292"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Incorporated Plan </w:t>
            </w:r>
          </w:p>
          <w:p w14:paraId="292268A5" w14:textId="52DAB077"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Does an Incorporated Plan apply to the site?</w:t>
            </w:r>
          </w:p>
        </w:tc>
        <w:tc>
          <w:tcPr>
            <w:tcW w:w="2242" w:type="dxa"/>
            <w:tcBorders>
              <w:top w:val="single" w:sz="6" w:space="0" w:color="auto"/>
              <w:left w:val="single" w:sz="6" w:space="0" w:color="auto"/>
              <w:bottom w:val="single" w:sz="6" w:space="0" w:color="auto"/>
              <w:right w:val="single" w:sz="6" w:space="0" w:color="auto"/>
            </w:tcBorders>
            <w:vAlign w:val="center"/>
          </w:tcPr>
          <w:p w14:paraId="3C41C72A" w14:textId="5A529C8F" w:rsidR="3FC870CB" w:rsidRDefault="00ED378D"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5A3DF52A" w14:textId="77777777" w:rsidTr="7F4B7FF6">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4CD4459" w14:textId="16795FD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Outbuildings and fences exemptions </w:t>
            </w:r>
          </w:p>
          <w:p w14:paraId="5CDE858A" w14:textId="223AB61B"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Are there outbuildings and fences which are not exempt from notice and review?</w:t>
            </w:r>
          </w:p>
        </w:tc>
        <w:tc>
          <w:tcPr>
            <w:tcW w:w="2242" w:type="dxa"/>
            <w:tcBorders>
              <w:top w:val="single" w:sz="6" w:space="0" w:color="auto"/>
              <w:left w:val="single" w:sz="6" w:space="0" w:color="auto"/>
              <w:bottom w:val="single" w:sz="6" w:space="0" w:color="auto"/>
              <w:right w:val="single" w:sz="6" w:space="0" w:color="auto"/>
            </w:tcBorders>
            <w:vAlign w:val="center"/>
          </w:tcPr>
          <w:p w14:paraId="213909AE" w14:textId="0D1C1B1B" w:rsidR="3FC870CB" w:rsidRDefault="00ED378D"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4C48904B" w14:textId="77777777" w:rsidTr="7F4B7FF6">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912FF96" w14:textId="42CE60B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Prohibited uses may be permitted </w:t>
            </w:r>
          </w:p>
          <w:p w14:paraId="489137A9" w14:textId="5BF08357"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Can a permit be granted to use the place for a use which would otherwise be prohibited?</w:t>
            </w:r>
          </w:p>
        </w:tc>
        <w:tc>
          <w:tcPr>
            <w:tcW w:w="2242" w:type="dxa"/>
            <w:tcBorders>
              <w:top w:val="single" w:sz="6" w:space="0" w:color="auto"/>
              <w:left w:val="single" w:sz="6" w:space="0" w:color="auto"/>
              <w:bottom w:val="single" w:sz="6" w:space="0" w:color="auto"/>
              <w:right w:val="single" w:sz="6" w:space="0" w:color="auto"/>
            </w:tcBorders>
            <w:vAlign w:val="center"/>
          </w:tcPr>
          <w:p w14:paraId="196E7BA8" w14:textId="6D31A083" w:rsidR="3FC870CB" w:rsidRDefault="7F4B7FF6" w:rsidP="7F4B7FF6">
            <w:pPr>
              <w:spacing w:line="259" w:lineRule="auto"/>
              <w:jc w:val="left"/>
              <w:rPr>
                <w:color w:val="000000" w:themeColor="text1"/>
                <w:sz w:val="21"/>
                <w:szCs w:val="21"/>
              </w:rPr>
            </w:pPr>
            <w:r w:rsidRPr="7F4B7FF6">
              <w:rPr>
                <w:rFonts w:eastAsia="Arial" w:cs="Arial"/>
                <w:color w:val="000000" w:themeColor="text1"/>
                <w:sz w:val="21"/>
                <w:szCs w:val="21"/>
              </w:rPr>
              <w:t>No</w:t>
            </w:r>
          </w:p>
        </w:tc>
      </w:tr>
      <w:tr w:rsidR="3FC870CB" w14:paraId="41372DAF" w14:textId="77777777" w:rsidTr="7F4B7FF6">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2825C98" w14:textId="47B663C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Aboriginal Heritage Place</w:t>
            </w:r>
          </w:p>
          <w:p w14:paraId="141B7B64" w14:textId="60C58DFB"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the place an Aboriginal heritage place which is subject to the requirements of the Aboriginal Heritage Act 2006?</w:t>
            </w:r>
          </w:p>
        </w:tc>
        <w:tc>
          <w:tcPr>
            <w:tcW w:w="2242" w:type="dxa"/>
            <w:tcBorders>
              <w:top w:val="single" w:sz="6" w:space="0" w:color="auto"/>
              <w:left w:val="single" w:sz="6" w:space="0" w:color="auto"/>
              <w:bottom w:val="single" w:sz="6" w:space="0" w:color="auto"/>
              <w:right w:val="single" w:sz="6" w:space="0" w:color="auto"/>
            </w:tcBorders>
            <w:vAlign w:val="center"/>
          </w:tcPr>
          <w:p w14:paraId="699742C6" w14:textId="08ECE30B" w:rsidR="3FC870CB" w:rsidRDefault="006C375F" w:rsidP="3FC870CB">
            <w:pPr>
              <w:jc w:val="left"/>
              <w:rPr>
                <w:rFonts w:eastAsia="Arial" w:cs="Arial"/>
                <w:color w:val="000000" w:themeColor="text1"/>
                <w:sz w:val="21"/>
                <w:szCs w:val="21"/>
              </w:rPr>
            </w:pPr>
            <w:r>
              <w:rPr>
                <w:rFonts w:eastAsia="Arial" w:cs="Arial"/>
                <w:color w:val="000000" w:themeColor="text1"/>
                <w:sz w:val="21"/>
                <w:szCs w:val="21"/>
              </w:rPr>
              <w:t>No</w:t>
            </w:r>
          </w:p>
        </w:tc>
      </w:tr>
    </w:tbl>
    <w:p w14:paraId="73A3A0C4" w14:textId="743BBF41" w:rsidR="3FC870CB" w:rsidRDefault="3FC870CB" w:rsidP="3FC870CB">
      <w:pPr>
        <w:rPr>
          <w:sz w:val="21"/>
          <w:szCs w:val="21"/>
        </w:rPr>
      </w:pPr>
    </w:p>
    <w:p w14:paraId="62DBF479" w14:textId="48E2DF60" w:rsidR="50767ADB" w:rsidRDefault="50767ADB" w:rsidP="50767ADB">
      <w:pPr>
        <w:rPr>
          <w:sz w:val="21"/>
          <w:szCs w:val="21"/>
        </w:rPr>
      </w:pPr>
    </w:p>
    <w:p w14:paraId="35FC2506" w14:textId="77777777" w:rsidR="00F0333B" w:rsidRPr="001E3CC7" w:rsidRDefault="00F0333B" w:rsidP="0053253F">
      <w:pPr>
        <w:rPr>
          <w:rFonts w:cs="Arial"/>
          <w:b/>
          <w:sz w:val="21"/>
          <w:szCs w:val="21"/>
        </w:rPr>
      </w:pPr>
      <w:r w:rsidRPr="001E3CC7">
        <w:rPr>
          <w:rFonts w:cs="Arial"/>
          <w:b/>
          <w:sz w:val="21"/>
          <w:szCs w:val="21"/>
        </w:rPr>
        <w:t>Identified By</w:t>
      </w:r>
    </w:p>
    <w:p w14:paraId="252539B6" w14:textId="5D57F954" w:rsidR="00713128" w:rsidRPr="001E3CC7" w:rsidRDefault="28E95BB7" w:rsidP="0053253F">
      <w:pPr>
        <w:rPr>
          <w:rFonts w:cs="Arial"/>
          <w:sz w:val="21"/>
          <w:szCs w:val="21"/>
        </w:rPr>
      </w:pPr>
      <w:r w:rsidRPr="28E95BB7">
        <w:rPr>
          <w:rFonts w:cs="Arial"/>
          <w:sz w:val="21"/>
          <w:szCs w:val="21"/>
        </w:rPr>
        <w:t>Trethowan</w:t>
      </w:r>
    </w:p>
    <w:p w14:paraId="18DBB61F" w14:textId="77777777" w:rsidR="00935F75" w:rsidRPr="00533CF2" w:rsidRDefault="00935F75" w:rsidP="0053253F">
      <w:pPr>
        <w:rPr>
          <w:rFonts w:cs="Arial"/>
          <w:sz w:val="21"/>
          <w:szCs w:val="21"/>
        </w:rPr>
      </w:pPr>
    </w:p>
    <w:p w14:paraId="3FE67038" w14:textId="77777777" w:rsidR="00827F9F" w:rsidRDefault="00827F9F">
      <w:pPr>
        <w:overflowPunct/>
        <w:autoSpaceDE/>
        <w:autoSpaceDN/>
        <w:adjustRightInd/>
        <w:jc w:val="left"/>
        <w:textAlignment w:val="auto"/>
        <w:rPr>
          <w:rFonts w:cs="Arial"/>
          <w:b/>
          <w:sz w:val="21"/>
          <w:szCs w:val="21"/>
        </w:rPr>
      </w:pPr>
      <w:r>
        <w:rPr>
          <w:rFonts w:cs="Arial"/>
          <w:b/>
          <w:sz w:val="21"/>
          <w:szCs w:val="21"/>
        </w:rPr>
        <w:br w:type="page"/>
      </w:r>
    </w:p>
    <w:p w14:paraId="066BED96" w14:textId="77777777" w:rsidR="00F0333B" w:rsidRPr="00533CF2" w:rsidRDefault="00F0333B" w:rsidP="0053253F">
      <w:pPr>
        <w:rPr>
          <w:rFonts w:cs="Arial"/>
          <w:b/>
          <w:sz w:val="21"/>
          <w:szCs w:val="21"/>
        </w:rPr>
      </w:pPr>
      <w:r w:rsidRPr="00533CF2">
        <w:rPr>
          <w:rFonts w:cs="Arial"/>
          <w:b/>
          <w:sz w:val="21"/>
          <w:szCs w:val="21"/>
        </w:rPr>
        <w:lastRenderedPageBreak/>
        <w:t>References</w:t>
      </w:r>
    </w:p>
    <w:p w14:paraId="3E9BCFCB" w14:textId="77777777" w:rsidR="002B0C04" w:rsidRDefault="002B0C04" w:rsidP="004263CB">
      <w:pPr>
        <w:rPr>
          <w:rFonts w:cs="Arial"/>
          <w:sz w:val="21"/>
          <w:szCs w:val="21"/>
        </w:rPr>
      </w:pPr>
    </w:p>
    <w:p w14:paraId="400738C4" w14:textId="519126F2" w:rsidR="28E95BB7" w:rsidRDefault="28E95BB7" w:rsidP="28E95BB7">
      <w:pPr>
        <w:rPr>
          <w:sz w:val="21"/>
          <w:szCs w:val="21"/>
        </w:rPr>
      </w:pPr>
      <w:r w:rsidRPr="28E95BB7">
        <w:rPr>
          <w:sz w:val="21"/>
          <w:szCs w:val="21"/>
        </w:rPr>
        <w:t>Apperly, R, Irving, R, and Reynolds, P 1995, A Pictorial Guide to Identifying Australian Architecture, Angus &amp; Robertson, Sydney.</w:t>
      </w:r>
    </w:p>
    <w:p w14:paraId="447812DE" w14:textId="624FE9A4" w:rsidR="28E95BB7" w:rsidRDefault="28E95BB7" w:rsidP="28E95BB7">
      <w:pPr>
        <w:rPr>
          <w:sz w:val="21"/>
          <w:szCs w:val="21"/>
        </w:rPr>
      </w:pPr>
    </w:p>
    <w:p w14:paraId="32EB5246" w14:textId="5F5C8288" w:rsidR="0087324E" w:rsidRDefault="31AA876C" w:rsidP="31AA876C">
      <w:pPr>
        <w:rPr>
          <w:sz w:val="21"/>
          <w:szCs w:val="21"/>
        </w:rPr>
      </w:pPr>
      <w:r w:rsidRPr="31AA876C">
        <w:rPr>
          <w:sz w:val="21"/>
          <w:szCs w:val="21"/>
        </w:rPr>
        <w:t>Bartolomei, D 2008, ‘Eltham’, eMelbourne, School of Historical and Philosophical Studies, The</w:t>
      </w:r>
    </w:p>
    <w:p w14:paraId="1EA54F8B" w14:textId="52A5CC3D" w:rsidR="0087324E" w:rsidRDefault="31AA876C" w:rsidP="31AA876C">
      <w:pPr>
        <w:rPr>
          <w:sz w:val="21"/>
          <w:szCs w:val="21"/>
        </w:rPr>
      </w:pPr>
      <w:r w:rsidRPr="31AA876C">
        <w:rPr>
          <w:sz w:val="21"/>
          <w:szCs w:val="21"/>
        </w:rPr>
        <w:t>University of Melbourne, https://www.emelbourne.net.au/biogs/EM00516b.htm.</w:t>
      </w:r>
    </w:p>
    <w:p w14:paraId="67F5A4A1" w14:textId="592451AD" w:rsidR="0087324E" w:rsidRDefault="31AA876C" w:rsidP="31AA876C">
      <w:pPr>
        <w:rPr>
          <w:sz w:val="21"/>
          <w:szCs w:val="21"/>
        </w:rPr>
      </w:pPr>
      <w:r w:rsidRPr="31AA876C">
        <w:rPr>
          <w:sz w:val="21"/>
          <w:szCs w:val="21"/>
        </w:rPr>
        <w:t xml:space="preserve"> </w:t>
      </w:r>
    </w:p>
    <w:p w14:paraId="31517466" w14:textId="666BC4E3" w:rsidR="0087324E" w:rsidRDefault="31AA876C" w:rsidP="31AA876C">
      <w:pPr>
        <w:rPr>
          <w:sz w:val="21"/>
          <w:szCs w:val="21"/>
        </w:rPr>
      </w:pPr>
      <w:r w:rsidRPr="31AA876C">
        <w:rPr>
          <w:sz w:val="21"/>
          <w:szCs w:val="21"/>
        </w:rPr>
        <w:t>Butler, Graeme and Associates 1996, ‘Nillumbik Shire Heritage Review – Environmental History’, Prepared for the Shire of Nillumbik.</w:t>
      </w:r>
    </w:p>
    <w:p w14:paraId="05FAD058" w14:textId="380E30D6" w:rsidR="0087324E" w:rsidRDefault="0087324E" w:rsidP="31AA876C">
      <w:pPr>
        <w:rPr>
          <w:sz w:val="21"/>
          <w:szCs w:val="21"/>
        </w:rPr>
      </w:pPr>
    </w:p>
    <w:p w14:paraId="01E439ED" w14:textId="3C672588" w:rsidR="0087324E" w:rsidRDefault="00C82B5C" w:rsidP="31AA876C">
      <w:pPr>
        <w:rPr>
          <w:sz w:val="21"/>
          <w:szCs w:val="21"/>
        </w:rPr>
      </w:pPr>
      <w:r w:rsidRPr="31AA876C">
        <w:rPr>
          <w:sz w:val="21"/>
          <w:szCs w:val="21"/>
        </w:rPr>
        <w:t>Cuming family</w:t>
      </w:r>
      <w:r w:rsidR="00AE37AC" w:rsidRPr="31AA876C">
        <w:rPr>
          <w:sz w:val="21"/>
          <w:szCs w:val="21"/>
        </w:rPr>
        <w:t>, original owne</w:t>
      </w:r>
      <w:r w:rsidR="008F0B8F" w:rsidRPr="31AA876C">
        <w:rPr>
          <w:sz w:val="21"/>
          <w:szCs w:val="21"/>
        </w:rPr>
        <w:t>rs of 130 Laughing Waters Road, personal communication, January 2022.</w:t>
      </w:r>
      <w:r w:rsidR="31AA876C" w:rsidRPr="31AA876C">
        <w:rPr>
          <w:sz w:val="21"/>
          <w:szCs w:val="21"/>
        </w:rPr>
        <w:t xml:space="preserve"> </w:t>
      </w:r>
    </w:p>
    <w:p w14:paraId="28B0E837" w14:textId="4CE40E6F" w:rsidR="0087324E" w:rsidRDefault="0087324E" w:rsidP="31AA876C">
      <w:pPr>
        <w:rPr>
          <w:sz w:val="21"/>
          <w:szCs w:val="21"/>
        </w:rPr>
      </w:pPr>
    </w:p>
    <w:p w14:paraId="4B24EB12" w14:textId="7C070753" w:rsidR="0087324E" w:rsidRDefault="31AA876C" w:rsidP="31AA876C">
      <w:pPr>
        <w:rPr>
          <w:sz w:val="21"/>
          <w:szCs w:val="21"/>
        </w:rPr>
      </w:pPr>
      <w:r w:rsidRPr="31AA876C">
        <w:rPr>
          <w:sz w:val="21"/>
          <w:szCs w:val="21"/>
        </w:rPr>
        <w:t>Eltham District Historical Society 2000, A Chronology of Known Local Events 1835-early 2000 including</w:t>
      </w:r>
    </w:p>
    <w:p w14:paraId="0520C1D0" w14:textId="7A8973D4" w:rsidR="0087324E" w:rsidRDefault="31AA876C" w:rsidP="31AA876C">
      <w:pPr>
        <w:rPr>
          <w:sz w:val="21"/>
          <w:szCs w:val="21"/>
        </w:rPr>
      </w:pPr>
      <w:r w:rsidRPr="31AA876C">
        <w:rPr>
          <w:sz w:val="21"/>
          <w:szCs w:val="21"/>
        </w:rPr>
        <w:t>those in the Shire of Nillumbik and the former shires of Eltham and Diamond Valley, Eltham District</w:t>
      </w:r>
    </w:p>
    <w:p w14:paraId="02E067AA" w14:textId="0041490D" w:rsidR="0087324E" w:rsidRDefault="31AA876C" w:rsidP="31AA876C">
      <w:pPr>
        <w:rPr>
          <w:sz w:val="21"/>
          <w:szCs w:val="21"/>
        </w:rPr>
      </w:pPr>
      <w:r w:rsidRPr="31AA876C">
        <w:rPr>
          <w:sz w:val="21"/>
          <w:szCs w:val="21"/>
        </w:rPr>
        <w:t>Historical Society Incorporated.</w:t>
      </w:r>
    </w:p>
    <w:p w14:paraId="5D8BCA37" w14:textId="6D63E6F8" w:rsidR="0087324E" w:rsidRDefault="31AA876C" w:rsidP="31AA876C">
      <w:pPr>
        <w:rPr>
          <w:sz w:val="21"/>
          <w:szCs w:val="21"/>
        </w:rPr>
      </w:pPr>
      <w:r w:rsidRPr="31AA876C">
        <w:rPr>
          <w:sz w:val="21"/>
          <w:szCs w:val="21"/>
        </w:rPr>
        <w:t xml:space="preserve"> </w:t>
      </w:r>
    </w:p>
    <w:p w14:paraId="63FFC53B" w14:textId="20C03C4A" w:rsidR="0087324E" w:rsidRDefault="31AA876C" w:rsidP="31AA876C">
      <w:pPr>
        <w:rPr>
          <w:sz w:val="21"/>
          <w:szCs w:val="21"/>
        </w:rPr>
      </w:pPr>
      <w:r w:rsidRPr="31AA876C">
        <w:rPr>
          <w:sz w:val="21"/>
          <w:szCs w:val="21"/>
        </w:rPr>
        <w:t>Context Pty Ltd 2020, ‘War Memorial Building Complex, 903-907 Main Road’ Eltham, draft citation, prepared for Nillumbik Shire Council.</w:t>
      </w:r>
    </w:p>
    <w:p w14:paraId="3BD7DB7C" w14:textId="2C9013A7" w:rsidR="0087324E" w:rsidRDefault="31AA876C" w:rsidP="31AA876C">
      <w:pPr>
        <w:rPr>
          <w:sz w:val="21"/>
          <w:szCs w:val="21"/>
        </w:rPr>
      </w:pPr>
      <w:r w:rsidRPr="31AA876C">
        <w:rPr>
          <w:sz w:val="21"/>
          <w:szCs w:val="21"/>
        </w:rPr>
        <w:t xml:space="preserve"> </w:t>
      </w:r>
    </w:p>
    <w:p w14:paraId="635529F1" w14:textId="76CAD14E" w:rsidR="0087324E" w:rsidRDefault="31AA876C" w:rsidP="31AA876C">
      <w:pPr>
        <w:rPr>
          <w:sz w:val="21"/>
          <w:szCs w:val="21"/>
        </w:rPr>
      </w:pPr>
      <w:r w:rsidRPr="31AA876C">
        <w:rPr>
          <w:sz w:val="21"/>
          <w:szCs w:val="21"/>
        </w:rPr>
        <w:t>Mills, Peter and Westbrooke, Samantha 2017, ‘Nillumbik Shire Thematic Environmental History – Revision 2016’, prepared for Nillumbik Shire Council.</w:t>
      </w:r>
    </w:p>
    <w:p w14:paraId="14F70095" w14:textId="0D0100A2" w:rsidR="0087324E" w:rsidRDefault="31AA876C" w:rsidP="31AA876C">
      <w:pPr>
        <w:rPr>
          <w:sz w:val="21"/>
          <w:szCs w:val="21"/>
        </w:rPr>
      </w:pPr>
      <w:r w:rsidRPr="31AA876C">
        <w:rPr>
          <w:sz w:val="21"/>
          <w:szCs w:val="21"/>
        </w:rPr>
        <w:t xml:space="preserve"> </w:t>
      </w:r>
    </w:p>
    <w:p w14:paraId="207FB9B7" w14:textId="71F976DE" w:rsidR="0087324E" w:rsidRDefault="31AA876C" w:rsidP="31AA876C">
      <w:pPr>
        <w:rPr>
          <w:sz w:val="21"/>
          <w:szCs w:val="21"/>
        </w:rPr>
      </w:pPr>
      <w:r w:rsidRPr="31AA876C">
        <w:rPr>
          <w:sz w:val="21"/>
          <w:szCs w:val="21"/>
        </w:rPr>
        <w:t>Nillumbik Parish Plan 1951, Department of Lands and Survey, Melbourne.</w:t>
      </w:r>
    </w:p>
    <w:p w14:paraId="13054AB8" w14:textId="56AF6FA5" w:rsidR="0087324E" w:rsidRDefault="31AA876C" w:rsidP="31AA876C">
      <w:pPr>
        <w:rPr>
          <w:sz w:val="21"/>
          <w:szCs w:val="21"/>
        </w:rPr>
      </w:pPr>
      <w:r w:rsidRPr="31AA876C">
        <w:rPr>
          <w:sz w:val="21"/>
          <w:szCs w:val="21"/>
        </w:rPr>
        <w:t xml:space="preserve"> </w:t>
      </w:r>
    </w:p>
    <w:p w14:paraId="71E079B8" w14:textId="2857ED59" w:rsidR="0087324E" w:rsidRDefault="31AA876C" w:rsidP="31AA876C">
      <w:pPr>
        <w:rPr>
          <w:sz w:val="21"/>
          <w:szCs w:val="21"/>
        </w:rPr>
      </w:pPr>
      <w:r w:rsidRPr="31AA876C">
        <w:rPr>
          <w:sz w:val="21"/>
          <w:szCs w:val="21"/>
        </w:rPr>
        <w:t>‘Parish of Nillumbik’ 2002, VPRS 16171, Public Record Office Victoria.</w:t>
      </w:r>
    </w:p>
    <w:p w14:paraId="3BA00421" w14:textId="45033A83" w:rsidR="0087324E" w:rsidRDefault="31AA876C" w:rsidP="31AA876C">
      <w:pPr>
        <w:rPr>
          <w:sz w:val="21"/>
          <w:szCs w:val="21"/>
        </w:rPr>
      </w:pPr>
      <w:r w:rsidRPr="31AA876C">
        <w:rPr>
          <w:sz w:val="21"/>
          <w:szCs w:val="21"/>
        </w:rPr>
        <w:t xml:space="preserve"> </w:t>
      </w:r>
    </w:p>
    <w:p w14:paraId="67697DB5" w14:textId="1898AB1E" w:rsidR="0087324E" w:rsidRDefault="31AA876C" w:rsidP="31AA876C">
      <w:pPr>
        <w:rPr>
          <w:sz w:val="21"/>
          <w:szCs w:val="21"/>
        </w:rPr>
      </w:pPr>
      <w:r w:rsidRPr="31AA876C">
        <w:rPr>
          <w:sz w:val="21"/>
          <w:szCs w:val="21"/>
        </w:rPr>
        <w:t>Victorian Places 2015, ‘Christmas Hills’, Monash University and The University of Queensland,</w:t>
      </w:r>
    </w:p>
    <w:p w14:paraId="123326EE" w14:textId="2C8F04EE" w:rsidR="0087324E" w:rsidRDefault="31AA876C" w:rsidP="31AA876C">
      <w:pPr>
        <w:rPr>
          <w:sz w:val="21"/>
          <w:szCs w:val="21"/>
        </w:rPr>
      </w:pPr>
      <w:r w:rsidRPr="31AA876C">
        <w:rPr>
          <w:sz w:val="21"/>
          <w:szCs w:val="21"/>
        </w:rPr>
        <w:t>https://www.victorianplaces.com.au/, accessed online 06 April. 2022</w:t>
      </w:r>
    </w:p>
    <w:p w14:paraId="0156753C" w14:textId="46F53562" w:rsidR="0087324E" w:rsidRDefault="0087324E" w:rsidP="31AA876C">
      <w:pPr>
        <w:rPr>
          <w:sz w:val="21"/>
          <w:szCs w:val="21"/>
        </w:rPr>
      </w:pPr>
    </w:p>
    <w:p w14:paraId="762A8842" w14:textId="455F9D9F" w:rsidR="002F4AFB" w:rsidRDefault="00CA594F" w:rsidP="00FB4871">
      <w:pPr>
        <w:rPr>
          <w:sz w:val="21"/>
          <w:szCs w:val="21"/>
        </w:rPr>
      </w:pPr>
      <w:r>
        <w:rPr>
          <w:sz w:val="21"/>
          <w:szCs w:val="21"/>
        </w:rPr>
        <w:t xml:space="preserve">Woollard, </w:t>
      </w:r>
      <w:r w:rsidR="00252031">
        <w:rPr>
          <w:sz w:val="21"/>
          <w:szCs w:val="21"/>
        </w:rPr>
        <w:t xml:space="preserve">J 2016, </w:t>
      </w:r>
      <w:r w:rsidR="00252031">
        <w:rPr>
          <w:i/>
          <w:iCs/>
          <w:sz w:val="21"/>
          <w:szCs w:val="21"/>
        </w:rPr>
        <w:t>Laughing Waters Road: Art, Landscape &amp; Memory in Eltham</w:t>
      </w:r>
      <w:r w:rsidR="00252031">
        <w:rPr>
          <w:sz w:val="21"/>
          <w:szCs w:val="21"/>
        </w:rPr>
        <w:t xml:space="preserve">, Shire of Nillumbik, Eltham. </w:t>
      </w:r>
    </w:p>
    <w:p w14:paraId="13F2E091" w14:textId="2FAC354B" w:rsidR="008F0B8F" w:rsidRDefault="008F0B8F" w:rsidP="00FB4871">
      <w:pPr>
        <w:rPr>
          <w:sz w:val="21"/>
          <w:szCs w:val="21"/>
        </w:rPr>
      </w:pPr>
    </w:p>
    <w:p w14:paraId="7B393B6E" w14:textId="77777777" w:rsidR="00C82B5C" w:rsidRDefault="00C82B5C" w:rsidP="00FB4871">
      <w:pPr>
        <w:rPr>
          <w:sz w:val="21"/>
          <w:szCs w:val="21"/>
        </w:rPr>
      </w:pPr>
    </w:p>
    <w:p w14:paraId="5AA11CBA" w14:textId="01E4E631" w:rsidR="00C82B5C" w:rsidRPr="00252031" w:rsidRDefault="00C82B5C" w:rsidP="00FB4871">
      <w:pPr>
        <w:rPr>
          <w:sz w:val="21"/>
          <w:szCs w:val="21"/>
        </w:rPr>
      </w:pPr>
    </w:p>
    <w:sectPr w:rsidR="00C82B5C" w:rsidRPr="00252031" w:rsidSect="00FC7300">
      <w:headerReference w:type="default" r:id="rId19"/>
      <w:footerReference w:type="default" r:id="rId20"/>
      <w:pgSz w:w="11906" w:h="16838"/>
      <w:pgMar w:top="1843" w:right="1800" w:bottom="1440" w:left="180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CD05CB" w14:textId="77777777" w:rsidR="001C321D" w:rsidRDefault="001C321D">
      <w:r>
        <w:separator/>
      </w:r>
    </w:p>
  </w:endnote>
  <w:endnote w:type="continuationSeparator" w:id="0">
    <w:p w14:paraId="5F6DE798" w14:textId="77777777" w:rsidR="001C321D" w:rsidRDefault="001C3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35FB2" w14:textId="4D611FEB" w:rsidR="009235F4" w:rsidRDefault="009235F4">
    <w:pPr>
      <w:pStyle w:val="Footer"/>
      <w:jc w:val="center"/>
    </w:pPr>
    <w:r>
      <w:fldChar w:fldCharType="begin"/>
    </w:r>
    <w:r>
      <w:instrText xml:space="preserve"> PAGE   \* MERGEFORMAT </w:instrText>
    </w:r>
    <w:r>
      <w:fldChar w:fldCharType="separate"/>
    </w:r>
    <w:r w:rsidR="00297849">
      <w:rPr>
        <w:noProof/>
      </w:rPr>
      <w:t>10</w:t>
    </w:r>
    <w:r>
      <w:rPr>
        <w:noProof/>
      </w:rPr>
      <w:fldChar w:fldCharType="end"/>
    </w:r>
  </w:p>
  <w:p w14:paraId="7F7B09F3" w14:textId="77777777" w:rsidR="009235F4" w:rsidRDefault="009235F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BEC29B" w14:textId="77777777" w:rsidR="001C321D" w:rsidRDefault="001C321D">
      <w:r>
        <w:separator/>
      </w:r>
    </w:p>
  </w:footnote>
  <w:footnote w:type="continuationSeparator" w:id="0">
    <w:p w14:paraId="3D56F747" w14:textId="77777777" w:rsidR="001C321D" w:rsidRDefault="001C321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0AC98" w14:textId="77777777" w:rsidR="009235F4" w:rsidRPr="00A51763" w:rsidRDefault="009235F4" w:rsidP="0053253F">
    <w:pPr>
      <w:pStyle w:val="Header"/>
      <w:jc w:val="center"/>
    </w:pPr>
    <w:r w:rsidRPr="0053253F">
      <w:rPr>
        <w:noProof/>
        <w:lang w:eastAsia="en-AU"/>
      </w:rPr>
      <w:drawing>
        <wp:inline distT="0" distB="0" distL="0" distR="0" wp14:anchorId="796D71EE" wp14:editId="57ED46F6">
          <wp:extent cx="999490" cy="614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99490" cy="614320"/>
                  </a:xfrm>
                  <a:prstGeom prst="rect">
                    <a:avLst/>
                  </a:prstGeom>
                  <a:noFill/>
                  <a:ln>
                    <a:noFill/>
                  </a:ln>
                </pic:spPr>
              </pic:pic>
            </a:graphicData>
          </a:graphic>
        </wp:inline>
      </w:drawing>
    </w:r>
  </w:p>
</w:hdr>
</file>

<file path=word/intelligence.xml><?xml version="1.0" encoding="utf-8"?>
<int:Intelligence xmlns:int="http://schemas.microsoft.com/office/intelligence/2019/intelligence">
  <int:IntelligenceSettings/>
  <int:Manifest/>
  <int:Observations/>
</int: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DE4349"/>
    <w:multiLevelType w:val="hybridMultilevel"/>
    <w:tmpl w:val="946C6178"/>
    <w:lvl w:ilvl="0" w:tplc="4E4E8B62">
      <w:start w:val="130"/>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 w15:restartNumberingAfterBreak="0">
    <w:nsid w:val="4F4D047D"/>
    <w:multiLevelType w:val="hybridMultilevel"/>
    <w:tmpl w:val="AC581CE4"/>
    <w:lvl w:ilvl="0" w:tplc="BC162E9E">
      <w:start w:val="2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50037D7"/>
    <w:multiLevelType w:val="hybridMultilevel"/>
    <w:tmpl w:val="FD228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5E47DEA"/>
    <w:multiLevelType w:val="hybridMultilevel"/>
    <w:tmpl w:val="05AE1E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93F32DD"/>
    <w:multiLevelType w:val="hybridMultilevel"/>
    <w:tmpl w:val="E7F05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719"/>
    <w:rsid w:val="00001F63"/>
    <w:rsid w:val="000077B0"/>
    <w:rsid w:val="000122AD"/>
    <w:rsid w:val="00014192"/>
    <w:rsid w:val="000154DD"/>
    <w:rsid w:val="000226FB"/>
    <w:rsid w:val="00022F3C"/>
    <w:rsid w:val="000262DF"/>
    <w:rsid w:val="00026A77"/>
    <w:rsid w:val="00031ACC"/>
    <w:rsid w:val="00033575"/>
    <w:rsid w:val="00035200"/>
    <w:rsid w:val="000414F2"/>
    <w:rsid w:val="000456A1"/>
    <w:rsid w:val="0004654B"/>
    <w:rsid w:val="00053945"/>
    <w:rsid w:val="000545A0"/>
    <w:rsid w:val="00057B39"/>
    <w:rsid w:val="00062C40"/>
    <w:rsid w:val="000648FC"/>
    <w:rsid w:val="00066DD5"/>
    <w:rsid w:val="0007515A"/>
    <w:rsid w:val="0007686E"/>
    <w:rsid w:val="00077A65"/>
    <w:rsid w:val="00084AE4"/>
    <w:rsid w:val="000A2BD2"/>
    <w:rsid w:val="000A39ED"/>
    <w:rsid w:val="000A7362"/>
    <w:rsid w:val="000B119B"/>
    <w:rsid w:val="000B2A36"/>
    <w:rsid w:val="000B7D16"/>
    <w:rsid w:val="000C7A77"/>
    <w:rsid w:val="000C7AB7"/>
    <w:rsid w:val="000C7F9D"/>
    <w:rsid w:val="000D062C"/>
    <w:rsid w:val="000D19AF"/>
    <w:rsid w:val="000D4813"/>
    <w:rsid w:val="000D49CE"/>
    <w:rsid w:val="000D4F5B"/>
    <w:rsid w:val="000E51B0"/>
    <w:rsid w:val="000E6362"/>
    <w:rsid w:val="000E6D08"/>
    <w:rsid w:val="000F2D8A"/>
    <w:rsid w:val="000F3F6D"/>
    <w:rsid w:val="001028A3"/>
    <w:rsid w:val="0010333E"/>
    <w:rsid w:val="0010386C"/>
    <w:rsid w:val="00103D51"/>
    <w:rsid w:val="001047DB"/>
    <w:rsid w:val="00104F1F"/>
    <w:rsid w:val="00112879"/>
    <w:rsid w:val="00127E5E"/>
    <w:rsid w:val="0013394E"/>
    <w:rsid w:val="0013475E"/>
    <w:rsid w:val="001364B0"/>
    <w:rsid w:val="001469BB"/>
    <w:rsid w:val="001517D4"/>
    <w:rsid w:val="0015550C"/>
    <w:rsid w:val="0015569D"/>
    <w:rsid w:val="001612CB"/>
    <w:rsid w:val="00163F52"/>
    <w:rsid w:val="0017319C"/>
    <w:rsid w:val="0018048A"/>
    <w:rsid w:val="0018120C"/>
    <w:rsid w:val="00182197"/>
    <w:rsid w:val="001823E3"/>
    <w:rsid w:val="00184ABE"/>
    <w:rsid w:val="001855EB"/>
    <w:rsid w:val="001A52D1"/>
    <w:rsid w:val="001A7000"/>
    <w:rsid w:val="001B0F67"/>
    <w:rsid w:val="001B23A1"/>
    <w:rsid w:val="001C0BCB"/>
    <w:rsid w:val="001C1CE5"/>
    <w:rsid w:val="001C2B42"/>
    <w:rsid w:val="001C321D"/>
    <w:rsid w:val="001C6550"/>
    <w:rsid w:val="001D116F"/>
    <w:rsid w:val="001D272A"/>
    <w:rsid w:val="001D4F49"/>
    <w:rsid w:val="001D69F4"/>
    <w:rsid w:val="001D6FC0"/>
    <w:rsid w:val="001D7026"/>
    <w:rsid w:val="001E3CC7"/>
    <w:rsid w:val="001E3DB8"/>
    <w:rsid w:val="001E3FAF"/>
    <w:rsid w:val="001E5E3B"/>
    <w:rsid w:val="001F7884"/>
    <w:rsid w:val="00200693"/>
    <w:rsid w:val="0022036C"/>
    <w:rsid w:val="00235A3E"/>
    <w:rsid w:val="00243455"/>
    <w:rsid w:val="0024366A"/>
    <w:rsid w:val="00252031"/>
    <w:rsid w:val="00252062"/>
    <w:rsid w:val="00252F73"/>
    <w:rsid w:val="002540D5"/>
    <w:rsid w:val="00260939"/>
    <w:rsid w:val="00264859"/>
    <w:rsid w:val="0026650E"/>
    <w:rsid w:val="00275696"/>
    <w:rsid w:val="00284B92"/>
    <w:rsid w:val="002878FB"/>
    <w:rsid w:val="00292A40"/>
    <w:rsid w:val="002946A1"/>
    <w:rsid w:val="00297849"/>
    <w:rsid w:val="00297D7A"/>
    <w:rsid w:val="00297D9F"/>
    <w:rsid w:val="002A00FB"/>
    <w:rsid w:val="002A0331"/>
    <w:rsid w:val="002A0351"/>
    <w:rsid w:val="002A17D3"/>
    <w:rsid w:val="002A461F"/>
    <w:rsid w:val="002A6489"/>
    <w:rsid w:val="002B0C04"/>
    <w:rsid w:val="002B26CE"/>
    <w:rsid w:val="002B2F18"/>
    <w:rsid w:val="002B3495"/>
    <w:rsid w:val="002B4BEC"/>
    <w:rsid w:val="002B4D7C"/>
    <w:rsid w:val="002B7137"/>
    <w:rsid w:val="002C6A4A"/>
    <w:rsid w:val="002C7ACC"/>
    <w:rsid w:val="002E22D2"/>
    <w:rsid w:val="002E26FD"/>
    <w:rsid w:val="002E4720"/>
    <w:rsid w:val="002E6BFA"/>
    <w:rsid w:val="002F021E"/>
    <w:rsid w:val="002F4AFB"/>
    <w:rsid w:val="002F5BEF"/>
    <w:rsid w:val="002F71CD"/>
    <w:rsid w:val="00300E99"/>
    <w:rsid w:val="0030201F"/>
    <w:rsid w:val="00304154"/>
    <w:rsid w:val="00304CCC"/>
    <w:rsid w:val="0030501C"/>
    <w:rsid w:val="00307380"/>
    <w:rsid w:val="00310FFD"/>
    <w:rsid w:val="0031331E"/>
    <w:rsid w:val="00315229"/>
    <w:rsid w:val="003211AF"/>
    <w:rsid w:val="0032362F"/>
    <w:rsid w:val="00323AE8"/>
    <w:rsid w:val="00332D75"/>
    <w:rsid w:val="00332DD0"/>
    <w:rsid w:val="00335ECB"/>
    <w:rsid w:val="00336725"/>
    <w:rsid w:val="00337350"/>
    <w:rsid w:val="0034371D"/>
    <w:rsid w:val="0034382D"/>
    <w:rsid w:val="00344D5E"/>
    <w:rsid w:val="0034714B"/>
    <w:rsid w:val="003511D4"/>
    <w:rsid w:val="00351787"/>
    <w:rsid w:val="0035305E"/>
    <w:rsid w:val="00354D95"/>
    <w:rsid w:val="0035661D"/>
    <w:rsid w:val="00363791"/>
    <w:rsid w:val="00374236"/>
    <w:rsid w:val="00380E05"/>
    <w:rsid w:val="00381DD7"/>
    <w:rsid w:val="003820FD"/>
    <w:rsid w:val="00390186"/>
    <w:rsid w:val="003921F6"/>
    <w:rsid w:val="00394406"/>
    <w:rsid w:val="00395133"/>
    <w:rsid w:val="003A026D"/>
    <w:rsid w:val="003A0C43"/>
    <w:rsid w:val="003A0EF9"/>
    <w:rsid w:val="003A0F2A"/>
    <w:rsid w:val="003A3D4C"/>
    <w:rsid w:val="003A59E2"/>
    <w:rsid w:val="003B1870"/>
    <w:rsid w:val="003B2A7D"/>
    <w:rsid w:val="003D39C2"/>
    <w:rsid w:val="003E0985"/>
    <w:rsid w:val="003E7D5C"/>
    <w:rsid w:val="003F1C4C"/>
    <w:rsid w:val="003F4991"/>
    <w:rsid w:val="003F57F8"/>
    <w:rsid w:val="003F6BA2"/>
    <w:rsid w:val="004004A2"/>
    <w:rsid w:val="00402BEB"/>
    <w:rsid w:val="00410215"/>
    <w:rsid w:val="00415853"/>
    <w:rsid w:val="00421AD3"/>
    <w:rsid w:val="004263CB"/>
    <w:rsid w:val="00426DDD"/>
    <w:rsid w:val="00437685"/>
    <w:rsid w:val="004417BF"/>
    <w:rsid w:val="00451295"/>
    <w:rsid w:val="0046299C"/>
    <w:rsid w:val="004634C9"/>
    <w:rsid w:val="00465000"/>
    <w:rsid w:val="0046635E"/>
    <w:rsid w:val="004701D3"/>
    <w:rsid w:val="00471CA3"/>
    <w:rsid w:val="004757A3"/>
    <w:rsid w:val="00475F0D"/>
    <w:rsid w:val="00476453"/>
    <w:rsid w:val="00476FCE"/>
    <w:rsid w:val="0048153F"/>
    <w:rsid w:val="00484C3E"/>
    <w:rsid w:val="0048749A"/>
    <w:rsid w:val="00487EC6"/>
    <w:rsid w:val="00492AB4"/>
    <w:rsid w:val="00497926"/>
    <w:rsid w:val="004A0B81"/>
    <w:rsid w:val="004A296B"/>
    <w:rsid w:val="004A56CF"/>
    <w:rsid w:val="004A621D"/>
    <w:rsid w:val="004B2433"/>
    <w:rsid w:val="004B2960"/>
    <w:rsid w:val="004B3D4D"/>
    <w:rsid w:val="004B5908"/>
    <w:rsid w:val="004C04FB"/>
    <w:rsid w:val="004C33E4"/>
    <w:rsid w:val="004D14F8"/>
    <w:rsid w:val="004D4049"/>
    <w:rsid w:val="004D7B60"/>
    <w:rsid w:val="004E3C0E"/>
    <w:rsid w:val="004E4453"/>
    <w:rsid w:val="004E6328"/>
    <w:rsid w:val="004F0E0A"/>
    <w:rsid w:val="004F1436"/>
    <w:rsid w:val="004F1652"/>
    <w:rsid w:val="004F1FAC"/>
    <w:rsid w:val="004F296F"/>
    <w:rsid w:val="004F4379"/>
    <w:rsid w:val="004F444B"/>
    <w:rsid w:val="00501C0F"/>
    <w:rsid w:val="0050351B"/>
    <w:rsid w:val="00507D65"/>
    <w:rsid w:val="00510634"/>
    <w:rsid w:val="00512F4B"/>
    <w:rsid w:val="0051478E"/>
    <w:rsid w:val="00514912"/>
    <w:rsid w:val="00517930"/>
    <w:rsid w:val="005271A5"/>
    <w:rsid w:val="0053253F"/>
    <w:rsid w:val="00533111"/>
    <w:rsid w:val="00533CF2"/>
    <w:rsid w:val="005342AA"/>
    <w:rsid w:val="00541D35"/>
    <w:rsid w:val="0054679B"/>
    <w:rsid w:val="005504C9"/>
    <w:rsid w:val="00552FA5"/>
    <w:rsid w:val="00555263"/>
    <w:rsid w:val="00555A65"/>
    <w:rsid w:val="0055729F"/>
    <w:rsid w:val="005676C0"/>
    <w:rsid w:val="00572422"/>
    <w:rsid w:val="0057287B"/>
    <w:rsid w:val="00580661"/>
    <w:rsid w:val="00580758"/>
    <w:rsid w:val="00581804"/>
    <w:rsid w:val="0058183A"/>
    <w:rsid w:val="00585405"/>
    <w:rsid w:val="005873B1"/>
    <w:rsid w:val="0059391E"/>
    <w:rsid w:val="0059605C"/>
    <w:rsid w:val="005A6F8A"/>
    <w:rsid w:val="005B178D"/>
    <w:rsid w:val="005B20D6"/>
    <w:rsid w:val="005B2A19"/>
    <w:rsid w:val="005B320C"/>
    <w:rsid w:val="005B5100"/>
    <w:rsid w:val="005C438E"/>
    <w:rsid w:val="005C4B3F"/>
    <w:rsid w:val="005C7F9E"/>
    <w:rsid w:val="005D1278"/>
    <w:rsid w:val="005D26D9"/>
    <w:rsid w:val="005D5EFE"/>
    <w:rsid w:val="005E0BB7"/>
    <w:rsid w:val="00603713"/>
    <w:rsid w:val="00606D1C"/>
    <w:rsid w:val="0061008A"/>
    <w:rsid w:val="00614A5B"/>
    <w:rsid w:val="00621276"/>
    <w:rsid w:val="006325E7"/>
    <w:rsid w:val="006350C0"/>
    <w:rsid w:val="0063627A"/>
    <w:rsid w:val="00637B11"/>
    <w:rsid w:val="00643D69"/>
    <w:rsid w:val="00644E77"/>
    <w:rsid w:val="00647D91"/>
    <w:rsid w:val="006522AD"/>
    <w:rsid w:val="00657A60"/>
    <w:rsid w:val="00666D34"/>
    <w:rsid w:val="00671B33"/>
    <w:rsid w:val="0068542F"/>
    <w:rsid w:val="006855A7"/>
    <w:rsid w:val="00692627"/>
    <w:rsid w:val="00692B0B"/>
    <w:rsid w:val="00693B6F"/>
    <w:rsid w:val="006943A6"/>
    <w:rsid w:val="0069715D"/>
    <w:rsid w:val="0069721B"/>
    <w:rsid w:val="006A317F"/>
    <w:rsid w:val="006B0F59"/>
    <w:rsid w:val="006B1B89"/>
    <w:rsid w:val="006B7EA1"/>
    <w:rsid w:val="006C375F"/>
    <w:rsid w:val="006C4865"/>
    <w:rsid w:val="006C621E"/>
    <w:rsid w:val="006C64A1"/>
    <w:rsid w:val="006C7983"/>
    <w:rsid w:val="006E00FE"/>
    <w:rsid w:val="006E17E9"/>
    <w:rsid w:val="006F28DB"/>
    <w:rsid w:val="006F3417"/>
    <w:rsid w:val="006F4068"/>
    <w:rsid w:val="006F522F"/>
    <w:rsid w:val="006F6810"/>
    <w:rsid w:val="006F7099"/>
    <w:rsid w:val="007007B0"/>
    <w:rsid w:val="007057CB"/>
    <w:rsid w:val="00710788"/>
    <w:rsid w:val="00710F60"/>
    <w:rsid w:val="00713128"/>
    <w:rsid w:val="007164F4"/>
    <w:rsid w:val="007256FF"/>
    <w:rsid w:val="0073188A"/>
    <w:rsid w:val="007319DE"/>
    <w:rsid w:val="00734738"/>
    <w:rsid w:val="0073603D"/>
    <w:rsid w:val="007414A0"/>
    <w:rsid w:val="00746496"/>
    <w:rsid w:val="00746AC1"/>
    <w:rsid w:val="00751E24"/>
    <w:rsid w:val="00754146"/>
    <w:rsid w:val="00755CEE"/>
    <w:rsid w:val="0076291B"/>
    <w:rsid w:val="00765B49"/>
    <w:rsid w:val="00771DBD"/>
    <w:rsid w:val="00772376"/>
    <w:rsid w:val="00773C21"/>
    <w:rsid w:val="007A044E"/>
    <w:rsid w:val="007A6927"/>
    <w:rsid w:val="007A7FAD"/>
    <w:rsid w:val="007B3068"/>
    <w:rsid w:val="007D2A20"/>
    <w:rsid w:val="007D3802"/>
    <w:rsid w:val="007E0147"/>
    <w:rsid w:val="007E2716"/>
    <w:rsid w:val="007E3D3F"/>
    <w:rsid w:val="007E4510"/>
    <w:rsid w:val="007E5719"/>
    <w:rsid w:val="007F2C50"/>
    <w:rsid w:val="008043D5"/>
    <w:rsid w:val="008056A1"/>
    <w:rsid w:val="00806B85"/>
    <w:rsid w:val="0081123F"/>
    <w:rsid w:val="00817F31"/>
    <w:rsid w:val="00821391"/>
    <w:rsid w:val="008231A1"/>
    <w:rsid w:val="008233B2"/>
    <w:rsid w:val="00824D69"/>
    <w:rsid w:val="00827462"/>
    <w:rsid w:val="00827F9F"/>
    <w:rsid w:val="00831F05"/>
    <w:rsid w:val="0083304E"/>
    <w:rsid w:val="00847217"/>
    <w:rsid w:val="00854517"/>
    <w:rsid w:val="00854D4C"/>
    <w:rsid w:val="00856004"/>
    <w:rsid w:val="00856ED8"/>
    <w:rsid w:val="00857AAE"/>
    <w:rsid w:val="008713D0"/>
    <w:rsid w:val="008724AA"/>
    <w:rsid w:val="0087324E"/>
    <w:rsid w:val="0087520F"/>
    <w:rsid w:val="00875CA6"/>
    <w:rsid w:val="0088190C"/>
    <w:rsid w:val="008832BA"/>
    <w:rsid w:val="0088331B"/>
    <w:rsid w:val="00886778"/>
    <w:rsid w:val="00890C5B"/>
    <w:rsid w:val="00894C12"/>
    <w:rsid w:val="008A6B10"/>
    <w:rsid w:val="008A6E56"/>
    <w:rsid w:val="008D615C"/>
    <w:rsid w:val="008E1066"/>
    <w:rsid w:val="008E1C33"/>
    <w:rsid w:val="008F0B8F"/>
    <w:rsid w:val="00901985"/>
    <w:rsid w:val="00901C79"/>
    <w:rsid w:val="00906717"/>
    <w:rsid w:val="00910D9B"/>
    <w:rsid w:val="00914514"/>
    <w:rsid w:val="0091477D"/>
    <w:rsid w:val="009235F4"/>
    <w:rsid w:val="0092504C"/>
    <w:rsid w:val="0092631A"/>
    <w:rsid w:val="00932B44"/>
    <w:rsid w:val="00935F75"/>
    <w:rsid w:val="00940CF0"/>
    <w:rsid w:val="00943E1D"/>
    <w:rsid w:val="009473AD"/>
    <w:rsid w:val="00950575"/>
    <w:rsid w:val="00953F2F"/>
    <w:rsid w:val="00955B5A"/>
    <w:rsid w:val="009661BE"/>
    <w:rsid w:val="009670D5"/>
    <w:rsid w:val="009674F5"/>
    <w:rsid w:val="0097293A"/>
    <w:rsid w:val="00972D25"/>
    <w:rsid w:val="0097323F"/>
    <w:rsid w:val="0097558C"/>
    <w:rsid w:val="009804FE"/>
    <w:rsid w:val="00982237"/>
    <w:rsid w:val="00985A59"/>
    <w:rsid w:val="00987990"/>
    <w:rsid w:val="009912D9"/>
    <w:rsid w:val="009968E0"/>
    <w:rsid w:val="009A1DFD"/>
    <w:rsid w:val="009A7B73"/>
    <w:rsid w:val="009B29BC"/>
    <w:rsid w:val="009B5289"/>
    <w:rsid w:val="009B6DFF"/>
    <w:rsid w:val="009B79C2"/>
    <w:rsid w:val="009C1679"/>
    <w:rsid w:val="009C31D5"/>
    <w:rsid w:val="009C4637"/>
    <w:rsid w:val="009C5413"/>
    <w:rsid w:val="009C5830"/>
    <w:rsid w:val="009C63FF"/>
    <w:rsid w:val="009C66C4"/>
    <w:rsid w:val="009D2F20"/>
    <w:rsid w:val="009D77D6"/>
    <w:rsid w:val="009E1872"/>
    <w:rsid w:val="009E49BA"/>
    <w:rsid w:val="009E5952"/>
    <w:rsid w:val="009F5884"/>
    <w:rsid w:val="009F6C0C"/>
    <w:rsid w:val="00A00C0E"/>
    <w:rsid w:val="00A02B1F"/>
    <w:rsid w:val="00A0352A"/>
    <w:rsid w:val="00A03A13"/>
    <w:rsid w:val="00A06286"/>
    <w:rsid w:val="00A0660D"/>
    <w:rsid w:val="00A06A85"/>
    <w:rsid w:val="00A074EB"/>
    <w:rsid w:val="00A11BBE"/>
    <w:rsid w:val="00A2027A"/>
    <w:rsid w:val="00A23DFA"/>
    <w:rsid w:val="00A2643E"/>
    <w:rsid w:val="00A2700F"/>
    <w:rsid w:val="00A27749"/>
    <w:rsid w:val="00A30183"/>
    <w:rsid w:val="00A30E7B"/>
    <w:rsid w:val="00A34259"/>
    <w:rsid w:val="00A34E9B"/>
    <w:rsid w:val="00A35C50"/>
    <w:rsid w:val="00A37780"/>
    <w:rsid w:val="00A3788B"/>
    <w:rsid w:val="00A40315"/>
    <w:rsid w:val="00A41DF4"/>
    <w:rsid w:val="00A443BF"/>
    <w:rsid w:val="00A47DD2"/>
    <w:rsid w:val="00A51763"/>
    <w:rsid w:val="00A550D6"/>
    <w:rsid w:val="00A65B20"/>
    <w:rsid w:val="00A65E74"/>
    <w:rsid w:val="00A71133"/>
    <w:rsid w:val="00A72A2B"/>
    <w:rsid w:val="00A765A2"/>
    <w:rsid w:val="00A82187"/>
    <w:rsid w:val="00A83DA8"/>
    <w:rsid w:val="00A84B38"/>
    <w:rsid w:val="00A87ACF"/>
    <w:rsid w:val="00A908BD"/>
    <w:rsid w:val="00A91290"/>
    <w:rsid w:val="00AA0A5D"/>
    <w:rsid w:val="00AA2B0C"/>
    <w:rsid w:val="00AB0B1F"/>
    <w:rsid w:val="00AB2579"/>
    <w:rsid w:val="00AB342F"/>
    <w:rsid w:val="00AB410D"/>
    <w:rsid w:val="00AC16DE"/>
    <w:rsid w:val="00AC1E03"/>
    <w:rsid w:val="00AD3679"/>
    <w:rsid w:val="00AD656E"/>
    <w:rsid w:val="00AE0FB1"/>
    <w:rsid w:val="00AE2D68"/>
    <w:rsid w:val="00AE37AC"/>
    <w:rsid w:val="00AE582B"/>
    <w:rsid w:val="00AE7A2E"/>
    <w:rsid w:val="00AF0433"/>
    <w:rsid w:val="00B009DC"/>
    <w:rsid w:val="00B00C69"/>
    <w:rsid w:val="00B03515"/>
    <w:rsid w:val="00B045F8"/>
    <w:rsid w:val="00B064ED"/>
    <w:rsid w:val="00B17B59"/>
    <w:rsid w:val="00B20236"/>
    <w:rsid w:val="00B317D8"/>
    <w:rsid w:val="00B31C37"/>
    <w:rsid w:val="00B34C52"/>
    <w:rsid w:val="00B435E4"/>
    <w:rsid w:val="00B4450C"/>
    <w:rsid w:val="00B46E5F"/>
    <w:rsid w:val="00B61434"/>
    <w:rsid w:val="00B6272B"/>
    <w:rsid w:val="00B63B7C"/>
    <w:rsid w:val="00B65D07"/>
    <w:rsid w:val="00B712CE"/>
    <w:rsid w:val="00B77EF4"/>
    <w:rsid w:val="00B80D58"/>
    <w:rsid w:val="00B80EEA"/>
    <w:rsid w:val="00B83014"/>
    <w:rsid w:val="00B86CE2"/>
    <w:rsid w:val="00B87BF1"/>
    <w:rsid w:val="00B9089C"/>
    <w:rsid w:val="00B9734A"/>
    <w:rsid w:val="00B97863"/>
    <w:rsid w:val="00BB135B"/>
    <w:rsid w:val="00BC28F8"/>
    <w:rsid w:val="00BC34EC"/>
    <w:rsid w:val="00BC3AE6"/>
    <w:rsid w:val="00BC4718"/>
    <w:rsid w:val="00BD08EE"/>
    <w:rsid w:val="00BD1094"/>
    <w:rsid w:val="00BD2071"/>
    <w:rsid w:val="00BD6ADE"/>
    <w:rsid w:val="00BE70BE"/>
    <w:rsid w:val="00BF1405"/>
    <w:rsid w:val="00BF6A9B"/>
    <w:rsid w:val="00BF7102"/>
    <w:rsid w:val="00C072D6"/>
    <w:rsid w:val="00C12905"/>
    <w:rsid w:val="00C20223"/>
    <w:rsid w:val="00C20CE6"/>
    <w:rsid w:val="00C20D8B"/>
    <w:rsid w:val="00C2601D"/>
    <w:rsid w:val="00C32B67"/>
    <w:rsid w:val="00C33781"/>
    <w:rsid w:val="00C34049"/>
    <w:rsid w:val="00C343FC"/>
    <w:rsid w:val="00C34901"/>
    <w:rsid w:val="00C3798F"/>
    <w:rsid w:val="00C418B9"/>
    <w:rsid w:val="00C445B8"/>
    <w:rsid w:val="00C517B8"/>
    <w:rsid w:val="00C53A3F"/>
    <w:rsid w:val="00C6430C"/>
    <w:rsid w:val="00C734F3"/>
    <w:rsid w:val="00C7606D"/>
    <w:rsid w:val="00C82B5C"/>
    <w:rsid w:val="00C839CB"/>
    <w:rsid w:val="00C85C2C"/>
    <w:rsid w:val="00C86C9D"/>
    <w:rsid w:val="00C87500"/>
    <w:rsid w:val="00C94378"/>
    <w:rsid w:val="00C950FA"/>
    <w:rsid w:val="00CA0CD4"/>
    <w:rsid w:val="00CA1185"/>
    <w:rsid w:val="00CA1C83"/>
    <w:rsid w:val="00CA52EE"/>
    <w:rsid w:val="00CA594F"/>
    <w:rsid w:val="00CC4AED"/>
    <w:rsid w:val="00CC6CB0"/>
    <w:rsid w:val="00CC798F"/>
    <w:rsid w:val="00CD115E"/>
    <w:rsid w:val="00CD11DA"/>
    <w:rsid w:val="00CD1F7B"/>
    <w:rsid w:val="00CD2250"/>
    <w:rsid w:val="00CD4B20"/>
    <w:rsid w:val="00CD70DA"/>
    <w:rsid w:val="00CE207F"/>
    <w:rsid w:val="00CE57C0"/>
    <w:rsid w:val="00CE6519"/>
    <w:rsid w:val="00CE7736"/>
    <w:rsid w:val="00CF529E"/>
    <w:rsid w:val="00D00A0D"/>
    <w:rsid w:val="00D07267"/>
    <w:rsid w:val="00D12639"/>
    <w:rsid w:val="00D12ECC"/>
    <w:rsid w:val="00D13815"/>
    <w:rsid w:val="00D153A4"/>
    <w:rsid w:val="00D170EA"/>
    <w:rsid w:val="00D2332B"/>
    <w:rsid w:val="00D25BFC"/>
    <w:rsid w:val="00D33851"/>
    <w:rsid w:val="00D33FFE"/>
    <w:rsid w:val="00D355A0"/>
    <w:rsid w:val="00D415A7"/>
    <w:rsid w:val="00D445FC"/>
    <w:rsid w:val="00D56845"/>
    <w:rsid w:val="00D606AA"/>
    <w:rsid w:val="00D614E4"/>
    <w:rsid w:val="00D74368"/>
    <w:rsid w:val="00D7532A"/>
    <w:rsid w:val="00D75850"/>
    <w:rsid w:val="00D9004F"/>
    <w:rsid w:val="00D9610E"/>
    <w:rsid w:val="00D96AC5"/>
    <w:rsid w:val="00DA021A"/>
    <w:rsid w:val="00DA635F"/>
    <w:rsid w:val="00DB2CEC"/>
    <w:rsid w:val="00DB3CD6"/>
    <w:rsid w:val="00DB74F6"/>
    <w:rsid w:val="00DC0581"/>
    <w:rsid w:val="00DC1F4D"/>
    <w:rsid w:val="00DC38C0"/>
    <w:rsid w:val="00DC40F3"/>
    <w:rsid w:val="00DC4E68"/>
    <w:rsid w:val="00DC6A9D"/>
    <w:rsid w:val="00DD28D6"/>
    <w:rsid w:val="00DD39F8"/>
    <w:rsid w:val="00DE0308"/>
    <w:rsid w:val="00DE6267"/>
    <w:rsid w:val="00DF19A5"/>
    <w:rsid w:val="00DF3EC0"/>
    <w:rsid w:val="00DF3F21"/>
    <w:rsid w:val="00DF45F6"/>
    <w:rsid w:val="00DF45FC"/>
    <w:rsid w:val="00E0419F"/>
    <w:rsid w:val="00E053A9"/>
    <w:rsid w:val="00E05A34"/>
    <w:rsid w:val="00E05B05"/>
    <w:rsid w:val="00E12047"/>
    <w:rsid w:val="00E178B2"/>
    <w:rsid w:val="00E17EC6"/>
    <w:rsid w:val="00E2034D"/>
    <w:rsid w:val="00E230B8"/>
    <w:rsid w:val="00E23192"/>
    <w:rsid w:val="00E24D96"/>
    <w:rsid w:val="00E26A41"/>
    <w:rsid w:val="00E360F8"/>
    <w:rsid w:val="00E415E0"/>
    <w:rsid w:val="00E42413"/>
    <w:rsid w:val="00E424A1"/>
    <w:rsid w:val="00E43CDA"/>
    <w:rsid w:val="00E468FE"/>
    <w:rsid w:val="00E50125"/>
    <w:rsid w:val="00E5728D"/>
    <w:rsid w:val="00E640A5"/>
    <w:rsid w:val="00E65E82"/>
    <w:rsid w:val="00E71784"/>
    <w:rsid w:val="00E71BB7"/>
    <w:rsid w:val="00E76B74"/>
    <w:rsid w:val="00E76CFE"/>
    <w:rsid w:val="00E82BC1"/>
    <w:rsid w:val="00E84358"/>
    <w:rsid w:val="00E84D0A"/>
    <w:rsid w:val="00E84DE9"/>
    <w:rsid w:val="00E874F6"/>
    <w:rsid w:val="00E903E7"/>
    <w:rsid w:val="00E96B7D"/>
    <w:rsid w:val="00EA2635"/>
    <w:rsid w:val="00EA43DE"/>
    <w:rsid w:val="00EA602F"/>
    <w:rsid w:val="00EA7DF3"/>
    <w:rsid w:val="00EB1086"/>
    <w:rsid w:val="00EB19F9"/>
    <w:rsid w:val="00EB2076"/>
    <w:rsid w:val="00EC152E"/>
    <w:rsid w:val="00EC240C"/>
    <w:rsid w:val="00EC2E5D"/>
    <w:rsid w:val="00EC6C11"/>
    <w:rsid w:val="00ED25C0"/>
    <w:rsid w:val="00ED378D"/>
    <w:rsid w:val="00ED3F1F"/>
    <w:rsid w:val="00EE0374"/>
    <w:rsid w:val="00EE27B2"/>
    <w:rsid w:val="00EE6F90"/>
    <w:rsid w:val="00EF663B"/>
    <w:rsid w:val="00F0333B"/>
    <w:rsid w:val="00F10CDD"/>
    <w:rsid w:val="00F1374C"/>
    <w:rsid w:val="00F14822"/>
    <w:rsid w:val="00F242CC"/>
    <w:rsid w:val="00F244A9"/>
    <w:rsid w:val="00F25479"/>
    <w:rsid w:val="00F270A5"/>
    <w:rsid w:val="00F27FB5"/>
    <w:rsid w:val="00F320E5"/>
    <w:rsid w:val="00F412AE"/>
    <w:rsid w:val="00F42E7A"/>
    <w:rsid w:val="00F445E9"/>
    <w:rsid w:val="00F46DE5"/>
    <w:rsid w:val="00F5091E"/>
    <w:rsid w:val="00F607D7"/>
    <w:rsid w:val="00F6593A"/>
    <w:rsid w:val="00F679BB"/>
    <w:rsid w:val="00F80A3F"/>
    <w:rsid w:val="00F81494"/>
    <w:rsid w:val="00F81CC6"/>
    <w:rsid w:val="00F87D41"/>
    <w:rsid w:val="00F92D36"/>
    <w:rsid w:val="00F92F83"/>
    <w:rsid w:val="00F969C3"/>
    <w:rsid w:val="00F97947"/>
    <w:rsid w:val="00FA29AD"/>
    <w:rsid w:val="00FA2AB0"/>
    <w:rsid w:val="00FB4871"/>
    <w:rsid w:val="00FB7128"/>
    <w:rsid w:val="00FC7300"/>
    <w:rsid w:val="00FD156F"/>
    <w:rsid w:val="00FE5775"/>
    <w:rsid w:val="00FF13B9"/>
    <w:rsid w:val="00FF1A07"/>
    <w:rsid w:val="00FF1C71"/>
    <w:rsid w:val="00FF4519"/>
    <w:rsid w:val="0164E304"/>
    <w:rsid w:val="03448817"/>
    <w:rsid w:val="0515C368"/>
    <w:rsid w:val="0542F3BB"/>
    <w:rsid w:val="06F50DB6"/>
    <w:rsid w:val="075196F8"/>
    <w:rsid w:val="07C658F1"/>
    <w:rsid w:val="091DFB8C"/>
    <w:rsid w:val="0A7C8E8E"/>
    <w:rsid w:val="0D32C42B"/>
    <w:rsid w:val="0D33FB3A"/>
    <w:rsid w:val="0EDDFB89"/>
    <w:rsid w:val="108CE034"/>
    <w:rsid w:val="112867E3"/>
    <w:rsid w:val="16514808"/>
    <w:rsid w:val="171AA6EA"/>
    <w:rsid w:val="1805E4DF"/>
    <w:rsid w:val="1C3C5540"/>
    <w:rsid w:val="1FDA9461"/>
    <w:rsid w:val="220D4FF4"/>
    <w:rsid w:val="28E95BB7"/>
    <w:rsid w:val="2987ADB3"/>
    <w:rsid w:val="2B1D906E"/>
    <w:rsid w:val="2D393618"/>
    <w:rsid w:val="31AA876C"/>
    <w:rsid w:val="31F04E13"/>
    <w:rsid w:val="33DEF63B"/>
    <w:rsid w:val="34134F72"/>
    <w:rsid w:val="352D74C0"/>
    <w:rsid w:val="364915C9"/>
    <w:rsid w:val="3F2425ED"/>
    <w:rsid w:val="3FC870CB"/>
    <w:rsid w:val="42204442"/>
    <w:rsid w:val="4301253C"/>
    <w:rsid w:val="43628797"/>
    <w:rsid w:val="49E8B425"/>
    <w:rsid w:val="4A21686B"/>
    <w:rsid w:val="4A47764B"/>
    <w:rsid w:val="4BD7A95C"/>
    <w:rsid w:val="4BF43D19"/>
    <w:rsid w:val="4DAEBEBC"/>
    <w:rsid w:val="4E6FA675"/>
    <w:rsid w:val="4E9A9429"/>
    <w:rsid w:val="4FC51566"/>
    <w:rsid w:val="502A5B40"/>
    <w:rsid w:val="50767ADB"/>
    <w:rsid w:val="50E65F7E"/>
    <w:rsid w:val="52822FDF"/>
    <w:rsid w:val="541E0040"/>
    <w:rsid w:val="558C497C"/>
    <w:rsid w:val="56C570C5"/>
    <w:rsid w:val="57BB30E9"/>
    <w:rsid w:val="5A8D41C4"/>
    <w:rsid w:val="5ED70E6F"/>
    <w:rsid w:val="6021BE5D"/>
    <w:rsid w:val="60814E60"/>
    <w:rsid w:val="655BE2C0"/>
    <w:rsid w:val="66533B43"/>
    <w:rsid w:val="6795CD4D"/>
    <w:rsid w:val="68465F62"/>
    <w:rsid w:val="6B60F348"/>
    <w:rsid w:val="6CA88161"/>
    <w:rsid w:val="6D3ACA2C"/>
    <w:rsid w:val="71C1BC7C"/>
    <w:rsid w:val="730A1D9E"/>
    <w:rsid w:val="73DD6226"/>
    <w:rsid w:val="78CE3169"/>
    <w:rsid w:val="79C9EAF9"/>
    <w:rsid w:val="7E13BA50"/>
    <w:rsid w:val="7F4B7FF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181A0A"/>
  <w15:chartTrackingRefBased/>
  <w15:docId w15:val="{321AAFB2-C670-41E8-9D15-6B5F73994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B0C"/>
    <w:pPr>
      <w:overflowPunct w:val="0"/>
      <w:autoSpaceDE w:val="0"/>
      <w:autoSpaceDN w:val="0"/>
      <w:adjustRightInd w:val="0"/>
      <w:jc w:val="both"/>
      <w:textAlignment w:val="baseline"/>
    </w:pPr>
    <w:rPr>
      <w:rFonts w:ascii="Arial" w:hAnsi="Arial"/>
      <w:lang w:eastAsia="en-US"/>
    </w:rPr>
  </w:style>
  <w:style w:type="paragraph" w:styleId="Heading3">
    <w:name w:val="heading 3"/>
    <w:basedOn w:val="Normal"/>
    <w:next w:val="Normal"/>
    <w:link w:val="Heading3Char"/>
    <w:uiPriority w:val="9"/>
    <w:semiHidden/>
    <w:unhideWhenUsed/>
    <w:qFormat/>
    <w:rsid w:val="00297D9F"/>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qFormat/>
    <w:rsid w:val="00F0333B"/>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00FE"/>
    <w:pPr>
      <w:tabs>
        <w:tab w:val="center" w:pos="4153"/>
        <w:tab w:val="right" w:pos="8306"/>
      </w:tabs>
    </w:pPr>
  </w:style>
  <w:style w:type="paragraph" w:styleId="Footer">
    <w:name w:val="footer"/>
    <w:basedOn w:val="Normal"/>
    <w:link w:val="FooterChar"/>
    <w:uiPriority w:val="99"/>
    <w:rsid w:val="006E00FE"/>
    <w:pPr>
      <w:tabs>
        <w:tab w:val="center" w:pos="4153"/>
        <w:tab w:val="right" w:pos="8306"/>
      </w:tabs>
    </w:pPr>
  </w:style>
  <w:style w:type="table" w:styleId="TableGrid">
    <w:name w:val="Table Grid"/>
    <w:basedOn w:val="TableNormal"/>
    <w:rsid w:val="00FA2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SheetText">
    <w:name w:val="Data Sheet Text"/>
    <w:basedOn w:val="Normal"/>
    <w:link w:val="DataSheetTextChar"/>
    <w:rsid w:val="00F0333B"/>
    <w:pPr>
      <w:overflowPunct/>
      <w:autoSpaceDE/>
      <w:autoSpaceDN/>
      <w:adjustRightInd/>
      <w:spacing w:line="240" w:lineRule="exact"/>
      <w:jc w:val="left"/>
      <w:textAlignment w:val="auto"/>
    </w:pPr>
    <w:rPr>
      <w:rFonts w:ascii="Verdana" w:hAnsi="Verdana"/>
      <w:sz w:val="18"/>
      <w:lang w:val="en-US"/>
    </w:rPr>
  </w:style>
  <w:style w:type="character" w:customStyle="1" w:styleId="DataSheetTextChar">
    <w:name w:val="Data Sheet Text Char"/>
    <w:link w:val="DataSheetText"/>
    <w:rsid w:val="00F0333B"/>
    <w:rPr>
      <w:rFonts w:ascii="Verdana" w:hAnsi="Verdana"/>
      <w:sz w:val="18"/>
      <w:lang w:val="en-US" w:eastAsia="en-US" w:bidi="ar-SA"/>
    </w:rPr>
  </w:style>
  <w:style w:type="paragraph" w:customStyle="1" w:styleId="DataSheetTextBold">
    <w:name w:val="Data Sheet Text Bold"/>
    <w:basedOn w:val="DataSheetText"/>
    <w:rsid w:val="00F0333B"/>
    <w:rPr>
      <w:b/>
      <w:szCs w:val="18"/>
    </w:rPr>
  </w:style>
  <w:style w:type="paragraph" w:customStyle="1" w:styleId="DataSheetItalics">
    <w:name w:val="Data Sheet Italics"/>
    <w:basedOn w:val="DataSheetText"/>
    <w:link w:val="DataSheetItalicsChar"/>
    <w:rsid w:val="00F0333B"/>
    <w:rPr>
      <w:i/>
      <w:iCs/>
    </w:rPr>
  </w:style>
  <w:style w:type="character" w:customStyle="1" w:styleId="DataSheetItalicsChar">
    <w:name w:val="Data Sheet Italics Char"/>
    <w:link w:val="DataSheetItalics"/>
    <w:rsid w:val="00F0333B"/>
    <w:rPr>
      <w:rFonts w:ascii="Verdana" w:hAnsi="Verdana"/>
      <w:i/>
      <w:iCs/>
      <w:sz w:val="18"/>
      <w:lang w:val="en-US" w:eastAsia="en-US" w:bidi="ar-SA"/>
    </w:rPr>
  </w:style>
  <w:style w:type="paragraph" w:customStyle="1" w:styleId="DataSheetHeadings">
    <w:name w:val="Data Sheet Headings"/>
    <w:basedOn w:val="Heading4"/>
    <w:rsid w:val="00F0333B"/>
    <w:pPr>
      <w:overflowPunct/>
      <w:autoSpaceDE/>
      <w:autoSpaceDN/>
      <w:adjustRightInd/>
      <w:spacing w:before="120" w:after="80" w:line="260" w:lineRule="exact"/>
      <w:ind w:left="822" w:hanging="822"/>
      <w:jc w:val="left"/>
      <w:textAlignment w:val="auto"/>
    </w:pPr>
    <w:rPr>
      <w:rFonts w:ascii="Verdana" w:hAnsi="Verdana"/>
      <w:sz w:val="18"/>
      <w:szCs w:val="20"/>
      <w:lang w:val="en-US"/>
    </w:rPr>
  </w:style>
  <w:style w:type="character" w:styleId="PageNumber">
    <w:name w:val="page number"/>
    <w:basedOn w:val="DefaultParagraphFont"/>
    <w:rsid w:val="00F0333B"/>
  </w:style>
  <w:style w:type="character" w:customStyle="1" w:styleId="FooterChar">
    <w:name w:val="Footer Char"/>
    <w:link w:val="Footer"/>
    <w:uiPriority w:val="99"/>
    <w:rsid w:val="00856004"/>
    <w:rPr>
      <w:sz w:val="24"/>
      <w:lang w:eastAsia="en-US"/>
    </w:rPr>
  </w:style>
  <w:style w:type="paragraph" w:styleId="Caption">
    <w:name w:val="caption"/>
    <w:aliases w:val="Caption for photos,figures &amp; diagrams"/>
    <w:basedOn w:val="Normal"/>
    <w:next w:val="Normal"/>
    <w:uiPriority w:val="35"/>
    <w:qFormat/>
    <w:rsid w:val="00E0419F"/>
    <w:pPr>
      <w:overflowPunct/>
      <w:autoSpaceDE/>
      <w:autoSpaceDN/>
      <w:adjustRightInd/>
      <w:spacing w:after="120"/>
      <w:ind w:left="1134"/>
      <w:jc w:val="left"/>
      <w:textAlignment w:val="auto"/>
    </w:pPr>
    <w:rPr>
      <w:rFonts w:ascii="Garamond" w:hAnsi="Garamond" w:cs="Arial"/>
      <w:i/>
      <w:szCs w:val="22"/>
      <w:lang w:eastAsia="en-AU"/>
    </w:rPr>
  </w:style>
  <w:style w:type="character" w:styleId="CommentReference">
    <w:name w:val="annotation reference"/>
    <w:uiPriority w:val="99"/>
    <w:semiHidden/>
    <w:unhideWhenUsed/>
    <w:rsid w:val="00A87ACF"/>
    <w:rPr>
      <w:sz w:val="16"/>
      <w:szCs w:val="16"/>
    </w:rPr>
  </w:style>
  <w:style w:type="paragraph" w:styleId="CommentText">
    <w:name w:val="annotation text"/>
    <w:basedOn w:val="Normal"/>
    <w:link w:val="CommentTextChar"/>
    <w:uiPriority w:val="99"/>
    <w:semiHidden/>
    <w:unhideWhenUsed/>
    <w:rsid w:val="00A87ACF"/>
  </w:style>
  <w:style w:type="character" w:customStyle="1" w:styleId="CommentTextChar">
    <w:name w:val="Comment Text Char"/>
    <w:link w:val="CommentText"/>
    <w:uiPriority w:val="99"/>
    <w:semiHidden/>
    <w:rsid w:val="00A87ACF"/>
    <w:rPr>
      <w:lang w:val="en-AU"/>
    </w:rPr>
  </w:style>
  <w:style w:type="paragraph" w:styleId="CommentSubject">
    <w:name w:val="annotation subject"/>
    <w:basedOn w:val="CommentText"/>
    <w:next w:val="CommentText"/>
    <w:link w:val="CommentSubjectChar"/>
    <w:uiPriority w:val="99"/>
    <w:semiHidden/>
    <w:unhideWhenUsed/>
    <w:rsid w:val="00A87ACF"/>
    <w:rPr>
      <w:b/>
      <w:bCs/>
    </w:rPr>
  </w:style>
  <w:style w:type="character" w:customStyle="1" w:styleId="CommentSubjectChar">
    <w:name w:val="Comment Subject Char"/>
    <w:link w:val="CommentSubject"/>
    <w:uiPriority w:val="99"/>
    <w:semiHidden/>
    <w:rsid w:val="00A87ACF"/>
    <w:rPr>
      <w:b/>
      <w:bCs/>
      <w:lang w:val="en-AU"/>
    </w:rPr>
  </w:style>
  <w:style w:type="paragraph" w:styleId="BalloonText">
    <w:name w:val="Balloon Text"/>
    <w:basedOn w:val="Normal"/>
    <w:link w:val="BalloonTextChar"/>
    <w:uiPriority w:val="99"/>
    <w:semiHidden/>
    <w:unhideWhenUsed/>
    <w:rsid w:val="00A87ACF"/>
    <w:rPr>
      <w:rFonts w:ascii="Segoe UI" w:hAnsi="Segoe UI" w:cs="Segoe UI"/>
      <w:sz w:val="18"/>
      <w:szCs w:val="18"/>
    </w:rPr>
  </w:style>
  <w:style w:type="character" w:customStyle="1" w:styleId="BalloonTextChar">
    <w:name w:val="Balloon Text Char"/>
    <w:link w:val="BalloonText"/>
    <w:uiPriority w:val="99"/>
    <w:semiHidden/>
    <w:rsid w:val="00A87ACF"/>
    <w:rPr>
      <w:rFonts w:ascii="Segoe UI" w:hAnsi="Segoe UI" w:cs="Segoe UI"/>
      <w:sz w:val="18"/>
      <w:szCs w:val="18"/>
      <w:lang w:val="en-AU"/>
    </w:rPr>
  </w:style>
  <w:style w:type="paragraph" w:customStyle="1" w:styleId="Default">
    <w:name w:val="Default"/>
    <w:rsid w:val="0034382D"/>
    <w:pPr>
      <w:autoSpaceDE w:val="0"/>
      <w:autoSpaceDN w:val="0"/>
      <w:adjustRightInd w:val="0"/>
    </w:pPr>
    <w:rPr>
      <w:rFonts w:ascii="Arial" w:hAnsi="Arial" w:cs="Arial"/>
      <w:color w:val="000000"/>
      <w:sz w:val="24"/>
      <w:szCs w:val="24"/>
      <w:lang w:val="en-US"/>
    </w:rPr>
  </w:style>
  <w:style w:type="paragraph" w:styleId="FootnoteText">
    <w:name w:val="footnote text"/>
    <w:basedOn w:val="Normal"/>
    <w:link w:val="FootnoteTextChar"/>
    <w:uiPriority w:val="99"/>
    <w:unhideWhenUsed/>
    <w:rsid w:val="00F445E9"/>
  </w:style>
  <w:style w:type="character" w:customStyle="1" w:styleId="FootnoteTextChar">
    <w:name w:val="Footnote Text Char"/>
    <w:basedOn w:val="DefaultParagraphFont"/>
    <w:link w:val="FootnoteText"/>
    <w:uiPriority w:val="99"/>
    <w:rsid w:val="00F445E9"/>
    <w:rPr>
      <w:lang w:eastAsia="en-US"/>
    </w:rPr>
  </w:style>
  <w:style w:type="character" w:styleId="FootnoteReference">
    <w:name w:val="footnote reference"/>
    <w:basedOn w:val="DefaultParagraphFont"/>
    <w:uiPriority w:val="99"/>
    <w:unhideWhenUsed/>
    <w:rsid w:val="00F445E9"/>
    <w:rPr>
      <w:vertAlign w:val="superscript"/>
    </w:rPr>
  </w:style>
  <w:style w:type="character" w:customStyle="1" w:styleId="Heading3Char">
    <w:name w:val="Heading 3 Char"/>
    <w:basedOn w:val="DefaultParagraphFont"/>
    <w:link w:val="Heading3"/>
    <w:uiPriority w:val="9"/>
    <w:semiHidden/>
    <w:rsid w:val="00297D9F"/>
    <w:rPr>
      <w:rFonts w:asciiTheme="majorHAnsi" w:eastAsiaTheme="majorEastAsia" w:hAnsiTheme="majorHAnsi" w:cstheme="majorBidi"/>
      <w:color w:val="1F4D78" w:themeColor="accent1" w:themeShade="7F"/>
      <w:sz w:val="24"/>
      <w:szCs w:val="24"/>
      <w:lang w:eastAsia="en-US"/>
    </w:rPr>
  </w:style>
  <w:style w:type="character" w:styleId="Hyperlink">
    <w:name w:val="Hyperlink"/>
    <w:basedOn w:val="DefaultParagraphFont"/>
    <w:uiPriority w:val="99"/>
    <w:unhideWhenUsed/>
    <w:rsid w:val="00297D9F"/>
    <w:rPr>
      <w:color w:val="0000FF"/>
      <w:u w:val="single"/>
    </w:rPr>
  </w:style>
  <w:style w:type="character" w:customStyle="1" w:styleId="apple-converted-space">
    <w:name w:val="apple-converted-space"/>
    <w:basedOn w:val="DefaultParagraphFont"/>
    <w:rsid w:val="00297D9F"/>
  </w:style>
  <w:style w:type="character" w:customStyle="1" w:styleId="style-scope">
    <w:name w:val="style-scope"/>
    <w:basedOn w:val="DefaultParagraphFont"/>
    <w:rsid w:val="00297D9F"/>
  </w:style>
  <w:style w:type="paragraph" w:styleId="NormalWeb">
    <w:name w:val="Normal (Web)"/>
    <w:basedOn w:val="Normal"/>
    <w:uiPriority w:val="99"/>
    <w:semiHidden/>
    <w:unhideWhenUsed/>
    <w:rsid w:val="00297D9F"/>
    <w:pPr>
      <w:overflowPunct/>
      <w:autoSpaceDE/>
      <w:autoSpaceDN/>
      <w:adjustRightInd/>
      <w:spacing w:before="100" w:beforeAutospacing="1" w:after="100" w:afterAutospacing="1"/>
      <w:jc w:val="left"/>
      <w:textAlignment w:val="auto"/>
    </w:pPr>
    <w:rPr>
      <w:szCs w:val="24"/>
      <w:lang w:val="en-US"/>
    </w:rPr>
  </w:style>
  <w:style w:type="paragraph" w:styleId="Quote">
    <w:name w:val="Quote"/>
    <w:basedOn w:val="Normal"/>
    <w:next w:val="Normal"/>
    <w:link w:val="QuoteChar"/>
    <w:autoRedefine/>
    <w:uiPriority w:val="73"/>
    <w:qFormat/>
    <w:rsid w:val="001D272A"/>
    <w:pPr>
      <w:ind w:left="720"/>
    </w:pPr>
    <w:rPr>
      <w:i/>
      <w:iCs/>
      <w:color w:val="000000" w:themeColor="text1"/>
      <w:sz w:val="21"/>
    </w:rPr>
  </w:style>
  <w:style w:type="character" w:customStyle="1" w:styleId="QuoteChar">
    <w:name w:val="Quote Char"/>
    <w:basedOn w:val="DefaultParagraphFont"/>
    <w:link w:val="Quote"/>
    <w:uiPriority w:val="73"/>
    <w:rsid w:val="001D272A"/>
    <w:rPr>
      <w:rFonts w:ascii="Arial" w:hAnsi="Arial"/>
      <w:i/>
      <w:iCs/>
      <w:color w:val="000000" w:themeColor="text1"/>
      <w:sz w:val="21"/>
      <w:lang w:eastAsia="en-US"/>
    </w:rPr>
  </w:style>
  <w:style w:type="character" w:customStyle="1" w:styleId="UnresolvedMention">
    <w:name w:val="Unresolved Mention"/>
    <w:basedOn w:val="DefaultParagraphFont"/>
    <w:uiPriority w:val="99"/>
    <w:semiHidden/>
    <w:unhideWhenUsed/>
    <w:rsid w:val="00901985"/>
    <w:rPr>
      <w:color w:val="808080"/>
      <w:shd w:val="clear" w:color="auto" w:fill="E6E6E6"/>
    </w:rPr>
  </w:style>
  <w:style w:type="paragraph" w:styleId="ListParagraph">
    <w:name w:val="List Paragraph"/>
    <w:basedOn w:val="Normal"/>
    <w:uiPriority w:val="34"/>
    <w:qFormat/>
    <w:rsid w:val="00751E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076624">
      <w:bodyDiv w:val="1"/>
      <w:marLeft w:val="0"/>
      <w:marRight w:val="0"/>
      <w:marTop w:val="0"/>
      <w:marBottom w:val="0"/>
      <w:divBdr>
        <w:top w:val="none" w:sz="0" w:space="0" w:color="auto"/>
        <w:left w:val="none" w:sz="0" w:space="0" w:color="auto"/>
        <w:bottom w:val="none" w:sz="0" w:space="0" w:color="auto"/>
        <w:right w:val="none" w:sz="0" w:space="0" w:color="auto"/>
      </w:divBdr>
    </w:div>
    <w:div w:id="1262251891">
      <w:bodyDiv w:val="1"/>
      <w:marLeft w:val="0"/>
      <w:marRight w:val="0"/>
      <w:marTop w:val="0"/>
      <w:marBottom w:val="0"/>
      <w:divBdr>
        <w:top w:val="none" w:sz="0" w:space="0" w:color="auto"/>
        <w:left w:val="none" w:sz="0" w:space="0" w:color="auto"/>
        <w:bottom w:val="none" w:sz="0" w:space="0" w:color="auto"/>
        <w:right w:val="none" w:sz="0" w:space="0" w:color="auto"/>
      </w:divBdr>
      <w:divsChild>
        <w:div w:id="223151593">
          <w:marLeft w:val="0"/>
          <w:marRight w:val="0"/>
          <w:marTop w:val="0"/>
          <w:marBottom w:val="0"/>
          <w:divBdr>
            <w:top w:val="none" w:sz="0" w:space="0" w:color="auto"/>
            <w:left w:val="none" w:sz="0" w:space="0" w:color="auto"/>
            <w:bottom w:val="none" w:sz="0" w:space="0" w:color="auto"/>
            <w:right w:val="none" w:sz="0" w:space="0" w:color="auto"/>
          </w:divBdr>
          <w:divsChild>
            <w:div w:id="1580671015">
              <w:marLeft w:val="0"/>
              <w:marRight w:val="0"/>
              <w:marTop w:val="0"/>
              <w:marBottom w:val="0"/>
              <w:divBdr>
                <w:top w:val="none" w:sz="0" w:space="0" w:color="auto"/>
                <w:left w:val="none" w:sz="0" w:space="0" w:color="auto"/>
                <w:bottom w:val="none" w:sz="0" w:space="0" w:color="auto"/>
                <w:right w:val="none" w:sz="0" w:space="0" w:color="auto"/>
              </w:divBdr>
            </w:div>
          </w:divsChild>
        </w:div>
        <w:div w:id="1398476053">
          <w:marLeft w:val="0"/>
          <w:marRight w:val="0"/>
          <w:marTop w:val="0"/>
          <w:marBottom w:val="0"/>
          <w:divBdr>
            <w:top w:val="none" w:sz="0" w:space="0" w:color="auto"/>
            <w:left w:val="none" w:sz="0" w:space="0" w:color="auto"/>
            <w:bottom w:val="none" w:sz="0" w:space="0" w:color="auto"/>
            <w:right w:val="none" w:sz="0" w:space="0" w:color="auto"/>
          </w:divBdr>
          <w:divsChild>
            <w:div w:id="111482513">
              <w:marLeft w:val="0"/>
              <w:marRight w:val="0"/>
              <w:marTop w:val="0"/>
              <w:marBottom w:val="0"/>
              <w:divBdr>
                <w:top w:val="none" w:sz="0" w:space="0" w:color="auto"/>
                <w:left w:val="none" w:sz="0" w:space="0" w:color="auto"/>
                <w:bottom w:val="none" w:sz="0" w:space="0" w:color="auto"/>
                <w:right w:val="none" w:sz="0" w:space="0" w:color="auto"/>
              </w:divBdr>
            </w:div>
            <w:div w:id="1374497395">
              <w:marLeft w:val="0"/>
              <w:marRight w:val="0"/>
              <w:marTop w:val="0"/>
              <w:marBottom w:val="93"/>
              <w:divBdr>
                <w:top w:val="none" w:sz="0" w:space="0" w:color="auto"/>
                <w:left w:val="none" w:sz="0" w:space="0" w:color="auto"/>
                <w:bottom w:val="none" w:sz="0" w:space="0" w:color="auto"/>
                <w:right w:val="none" w:sz="0" w:space="0" w:color="auto"/>
              </w:divBdr>
              <w:divsChild>
                <w:div w:id="17226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6393">
          <w:marLeft w:val="0"/>
          <w:marRight w:val="0"/>
          <w:marTop w:val="0"/>
          <w:marBottom w:val="0"/>
          <w:divBdr>
            <w:top w:val="none" w:sz="0" w:space="0" w:color="auto"/>
            <w:left w:val="none" w:sz="0" w:space="0" w:color="auto"/>
            <w:bottom w:val="none" w:sz="0" w:space="0" w:color="auto"/>
            <w:right w:val="none" w:sz="0" w:space="0" w:color="auto"/>
          </w:divBdr>
        </w:div>
      </w:divsChild>
    </w:div>
    <w:div w:id="1668560952">
      <w:bodyDiv w:val="1"/>
      <w:marLeft w:val="0"/>
      <w:marRight w:val="0"/>
      <w:marTop w:val="0"/>
      <w:marBottom w:val="0"/>
      <w:divBdr>
        <w:top w:val="none" w:sz="0" w:space="0" w:color="auto"/>
        <w:left w:val="none" w:sz="0" w:space="0" w:color="auto"/>
        <w:bottom w:val="none" w:sz="0" w:space="0" w:color="auto"/>
        <w:right w:val="none" w:sz="0" w:space="0" w:color="auto"/>
      </w:divBdr>
      <w:divsChild>
        <w:div w:id="689062926">
          <w:marLeft w:val="0"/>
          <w:marRight w:val="0"/>
          <w:marTop w:val="0"/>
          <w:marBottom w:val="0"/>
          <w:divBdr>
            <w:top w:val="none" w:sz="0" w:space="0" w:color="auto"/>
            <w:left w:val="none" w:sz="0" w:space="0" w:color="auto"/>
            <w:bottom w:val="none" w:sz="0" w:space="0" w:color="auto"/>
            <w:right w:val="none" w:sz="0" w:space="0" w:color="auto"/>
          </w:divBdr>
          <w:divsChild>
            <w:div w:id="92672409">
              <w:marLeft w:val="0"/>
              <w:marRight w:val="0"/>
              <w:marTop w:val="0"/>
              <w:marBottom w:val="0"/>
              <w:divBdr>
                <w:top w:val="none" w:sz="0" w:space="0" w:color="auto"/>
                <w:left w:val="none" w:sz="0" w:space="0" w:color="auto"/>
                <w:bottom w:val="none" w:sz="0" w:space="0" w:color="auto"/>
                <w:right w:val="none" w:sz="0" w:space="0" w:color="auto"/>
              </w:divBdr>
              <w:divsChild>
                <w:div w:id="1436900799">
                  <w:marLeft w:val="0"/>
                  <w:marRight w:val="0"/>
                  <w:marTop w:val="0"/>
                  <w:marBottom w:val="0"/>
                  <w:divBdr>
                    <w:top w:val="none" w:sz="0" w:space="0" w:color="auto"/>
                    <w:left w:val="none" w:sz="0" w:space="0" w:color="auto"/>
                    <w:bottom w:val="none" w:sz="0" w:space="0" w:color="auto"/>
                    <w:right w:val="none" w:sz="0" w:space="0" w:color="auto"/>
                  </w:divBdr>
                  <w:divsChild>
                    <w:div w:id="1061247104">
                      <w:marLeft w:val="0"/>
                      <w:marRight w:val="0"/>
                      <w:marTop w:val="0"/>
                      <w:marBottom w:val="0"/>
                      <w:divBdr>
                        <w:top w:val="none" w:sz="0" w:space="0" w:color="auto"/>
                        <w:left w:val="none" w:sz="0" w:space="0" w:color="auto"/>
                        <w:bottom w:val="none" w:sz="0" w:space="0" w:color="auto"/>
                        <w:right w:val="none" w:sz="0" w:space="0" w:color="auto"/>
                      </w:divBdr>
                      <w:divsChild>
                        <w:div w:id="8348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1814">
      <w:bodyDiv w:val="1"/>
      <w:marLeft w:val="0"/>
      <w:marRight w:val="0"/>
      <w:marTop w:val="0"/>
      <w:marBottom w:val="0"/>
      <w:divBdr>
        <w:top w:val="none" w:sz="0" w:space="0" w:color="auto"/>
        <w:left w:val="none" w:sz="0" w:space="0" w:color="auto"/>
        <w:bottom w:val="none" w:sz="0" w:space="0" w:color="auto"/>
        <w:right w:val="none" w:sz="0" w:space="0" w:color="auto"/>
      </w:divBdr>
      <w:divsChild>
        <w:div w:id="512382531">
          <w:marLeft w:val="0"/>
          <w:marRight w:val="0"/>
          <w:marTop w:val="0"/>
          <w:marBottom w:val="0"/>
          <w:divBdr>
            <w:top w:val="none" w:sz="0" w:space="0" w:color="auto"/>
            <w:left w:val="none" w:sz="0" w:space="0" w:color="auto"/>
            <w:bottom w:val="none" w:sz="0" w:space="0" w:color="auto"/>
            <w:right w:val="none" w:sz="0" w:space="0" w:color="auto"/>
          </w:divBdr>
          <w:divsChild>
            <w:div w:id="1176506166">
              <w:marLeft w:val="0"/>
              <w:marRight w:val="0"/>
              <w:marTop w:val="0"/>
              <w:marBottom w:val="0"/>
              <w:divBdr>
                <w:top w:val="none" w:sz="0" w:space="0" w:color="auto"/>
                <w:left w:val="none" w:sz="0" w:space="0" w:color="auto"/>
                <w:bottom w:val="none" w:sz="0" w:space="0" w:color="auto"/>
                <w:right w:val="none" w:sz="0" w:space="0" w:color="auto"/>
              </w:divBdr>
              <w:divsChild>
                <w:div w:id="1959800153">
                  <w:marLeft w:val="0"/>
                  <w:marRight w:val="0"/>
                  <w:marTop w:val="0"/>
                  <w:marBottom w:val="0"/>
                  <w:divBdr>
                    <w:top w:val="none" w:sz="0" w:space="0" w:color="auto"/>
                    <w:left w:val="none" w:sz="0" w:space="0" w:color="auto"/>
                    <w:bottom w:val="none" w:sz="0" w:space="0" w:color="auto"/>
                    <w:right w:val="none" w:sz="0" w:space="0" w:color="auto"/>
                  </w:divBdr>
                  <w:divsChild>
                    <w:div w:id="2020038161">
                      <w:marLeft w:val="0"/>
                      <w:marRight w:val="0"/>
                      <w:marTop w:val="0"/>
                      <w:marBottom w:val="0"/>
                      <w:divBdr>
                        <w:top w:val="none" w:sz="0" w:space="0" w:color="auto"/>
                        <w:left w:val="none" w:sz="0" w:space="0" w:color="auto"/>
                        <w:bottom w:val="none" w:sz="0" w:space="0" w:color="auto"/>
                        <w:right w:val="none" w:sz="0" w:space="0" w:color="auto"/>
                      </w:divBdr>
                      <w:divsChild>
                        <w:div w:id="13406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598558">
      <w:bodyDiv w:val="1"/>
      <w:marLeft w:val="0"/>
      <w:marRight w:val="0"/>
      <w:marTop w:val="0"/>
      <w:marBottom w:val="0"/>
      <w:divBdr>
        <w:top w:val="none" w:sz="0" w:space="0" w:color="auto"/>
        <w:left w:val="none" w:sz="0" w:space="0" w:color="auto"/>
        <w:bottom w:val="none" w:sz="0" w:space="0" w:color="auto"/>
        <w:right w:val="none" w:sz="0" w:space="0" w:color="auto"/>
      </w:divBdr>
      <w:divsChild>
        <w:div w:id="314408791">
          <w:marLeft w:val="0"/>
          <w:marRight w:val="0"/>
          <w:marTop w:val="0"/>
          <w:marBottom w:val="0"/>
          <w:divBdr>
            <w:top w:val="none" w:sz="0" w:space="0" w:color="auto"/>
            <w:left w:val="none" w:sz="0" w:space="0" w:color="auto"/>
            <w:bottom w:val="none" w:sz="0" w:space="0" w:color="auto"/>
            <w:right w:val="none" w:sz="0" w:space="0" w:color="auto"/>
          </w:divBdr>
        </w:div>
        <w:div w:id="15143024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 Id="R0530a76fb9e04c81" Type="http://schemas.microsoft.com/office/2019/09/relationships/intelligence" Target="intelligence.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DCA39892727A43AED8685A6B9892AC" ma:contentTypeVersion="16" ma:contentTypeDescription="Create a new document." ma:contentTypeScope="" ma:versionID="06c636b0634562424e492401b505047a">
  <xsd:schema xmlns:xsd="http://www.w3.org/2001/XMLSchema" xmlns:xs="http://www.w3.org/2001/XMLSchema" xmlns:p="http://schemas.microsoft.com/office/2006/metadata/properties" xmlns:ns2="1e38813c-8383-40ac-aac6-c130ac0789ad" xmlns:ns3="7732951b-1e4d-4ca2-ae25-3c4f29afc10d" targetNamespace="http://schemas.microsoft.com/office/2006/metadata/properties" ma:root="true" ma:fieldsID="ded78c2f4aff38b459540f72892d5355" ns2:_="" ns3:_="">
    <xsd:import namespace="1e38813c-8383-40ac-aac6-c130ac0789ad"/>
    <xsd:import namespace="7732951b-1e4d-4ca2-ae25-3c4f29afc1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38813c-8383-40ac-aac6-c130ac0789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89f8bb-ed4d-4602-b98b-499c5278b08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732951b-1e4d-4ca2-ae25-3c4f29afc10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feeaad-4ddb-4bcf-b7b8-2f706658a740}" ma:internalName="TaxCatchAll" ma:showField="CatchAllData" ma:web="7732951b-1e4d-4ca2-ae25-3c4f29afc1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38813c-8383-40ac-aac6-c130ac0789ad">
      <Terms xmlns="http://schemas.microsoft.com/office/infopath/2007/PartnerControls"/>
    </lcf76f155ced4ddcb4097134ff3c332f>
    <TaxCatchAll xmlns="7732951b-1e4d-4ca2-ae25-3c4f29afc10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A715D0-7C1C-4322-AC6F-7B16B4DD95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38813c-8383-40ac-aac6-c130ac0789ad"/>
    <ds:schemaRef ds:uri="7732951b-1e4d-4ca2-ae25-3c4f29afc1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C38FEC-EBA4-41B7-B3E6-98D70386AD8C}">
  <ds:schemaRefs>
    <ds:schemaRef ds:uri="http://schemas.microsoft.com/sharepoint/v3/contenttype/forms"/>
  </ds:schemaRefs>
</ds:datastoreItem>
</file>

<file path=customXml/itemProps3.xml><?xml version="1.0" encoding="utf-8"?>
<ds:datastoreItem xmlns:ds="http://schemas.openxmlformats.org/officeDocument/2006/customXml" ds:itemID="{EEF5EE9A-F0F6-461D-ACE6-59004ABAB799}">
  <ds:schemaRefs>
    <ds:schemaRef ds:uri="http://schemas.microsoft.com/office/2006/metadata/properties"/>
    <ds:schemaRef ds:uri="http://schemas.microsoft.com/office/infopath/2007/PartnerControls"/>
    <ds:schemaRef ds:uri="1e38813c-8383-40ac-aac6-c130ac0789ad"/>
    <ds:schemaRef ds:uri="7732951b-1e4d-4ca2-ae25-3c4f29afc10d"/>
  </ds:schemaRefs>
</ds:datastoreItem>
</file>

<file path=customXml/itemProps4.xml><?xml version="1.0" encoding="utf-8"?>
<ds:datastoreItem xmlns:ds="http://schemas.openxmlformats.org/officeDocument/2006/customXml" ds:itemID="{F09EBD6E-3A3B-46D6-AD20-C3657A62B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2988</Words>
  <Characters>16287</Characters>
  <Application>Microsoft Office Word</Application>
  <DocSecurity>0</DocSecurity>
  <Lines>387</Lines>
  <Paragraphs>126</Paragraphs>
  <ScaleCrop>false</ScaleCrop>
  <Company>City of Boroondara</Company>
  <LinksUpToDate>false</LinksUpToDate>
  <CharactersWithSpaces>19149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kmcmahon</dc:creator>
  <cp:keywords/>
  <dc:description/>
  <cp:lastModifiedBy>Julie Paget</cp:lastModifiedBy>
  <cp:revision>179</cp:revision>
  <cp:lastPrinted>2017-04-07T00:02:00Z</cp:lastPrinted>
  <dcterms:created xsi:type="dcterms:W3CDTF">2018-06-18T23:54:00Z</dcterms:created>
  <dcterms:modified xsi:type="dcterms:W3CDTF">2022-06-01T03:03:00Z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0x010100A4DCA39892727A43AED8685A6B9892AC</vt:lpwstr>
  </property>
  <property fmtid="{D5CDD505-2E9C-101B-9397-08002B2CF9AE}" pid="3" name="MediaServiceImageTags">
    <vt:lpwstr/>
  </property>
</Properties>
</file>