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0405F5A0" w:rsidR="00824D69" w:rsidRPr="00533CF2" w:rsidRDefault="009C31D5" w:rsidP="00D00A0D">
            <w:pPr>
              <w:jc w:val="left"/>
              <w:rPr>
                <w:rFonts w:cs="Arial"/>
                <w:b/>
                <w:sz w:val="21"/>
                <w:szCs w:val="21"/>
              </w:rPr>
            </w:pPr>
            <w:r>
              <w:rPr>
                <w:rFonts w:cs="Arial"/>
                <w:b/>
                <w:sz w:val="21"/>
                <w:szCs w:val="21"/>
              </w:rPr>
              <w:t>Title</w:t>
            </w:r>
            <w:r w:rsidR="001603AF">
              <w:rPr>
                <w:rFonts w:cs="Arial"/>
                <w:b/>
                <w:sz w:val="21"/>
                <w:szCs w:val="21"/>
              </w:rPr>
              <w:t>: House</w:t>
            </w:r>
            <w:r w:rsidR="002017C8">
              <w:rPr>
                <w:rFonts w:cs="Arial"/>
                <w:b/>
                <w:sz w:val="21"/>
                <w:szCs w:val="21"/>
              </w:rPr>
              <w:t>,</w:t>
            </w:r>
            <w:r w:rsidR="001603AF">
              <w:rPr>
                <w:rFonts w:cs="Arial"/>
                <w:b/>
                <w:sz w:val="21"/>
                <w:szCs w:val="21"/>
              </w:rPr>
              <w:t xml:space="preserve"> Farm</w:t>
            </w:r>
            <w:r w:rsidR="002017C8">
              <w:rPr>
                <w:rFonts w:cs="Arial"/>
                <w:b/>
                <w:sz w:val="21"/>
                <w:szCs w:val="21"/>
              </w:rPr>
              <w:t>, 145 River Avenue, Plenty</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0181FFAA"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r w:rsidR="00C93F6B">
              <w:rPr>
                <w:rFonts w:cs="Arial"/>
                <w:sz w:val="21"/>
                <w:szCs w:val="21"/>
              </w:rPr>
              <w:t xml:space="preserve"> </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44A6A877">
        <w:trPr>
          <w:trHeight w:val="397"/>
        </w:trPr>
        <w:tc>
          <w:tcPr>
            <w:tcW w:w="8613" w:type="dxa"/>
            <w:gridSpan w:val="2"/>
          </w:tcPr>
          <w:p w14:paraId="4C2565D4" w14:textId="15B0B454"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C93F6B">
              <w:rPr>
                <w:rFonts w:cs="Arial"/>
                <w:b/>
                <w:sz w:val="21"/>
                <w:szCs w:val="21"/>
              </w:rPr>
              <w:t>145 River Avenue, Plenty</w:t>
            </w:r>
          </w:p>
        </w:tc>
      </w:tr>
      <w:tr w:rsidR="00D00A0D" w:rsidRPr="00533CF2" w14:paraId="25C448F6" w14:textId="77777777" w:rsidTr="44A6A877">
        <w:trPr>
          <w:trHeight w:val="397"/>
        </w:trPr>
        <w:tc>
          <w:tcPr>
            <w:tcW w:w="5495" w:type="dxa"/>
          </w:tcPr>
          <w:p w14:paraId="5A1A9259" w14:textId="7B708688" w:rsidR="00D00A0D" w:rsidRPr="00533CF2" w:rsidRDefault="00D00A0D" w:rsidP="44A6A877">
            <w:pPr>
              <w:rPr>
                <w:rFonts w:cs="Arial"/>
                <w:b/>
                <w:bCs/>
                <w:sz w:val="21"/>
                <w:szCs w:val="21"/>
              </w:rPr>
            </w:pPr>
            <w:r w:rsidRPr="44A6A877">
              <w:rPr>
                <w:rFonts w:cs="Arial"/>
                <w:b/>
                <w:bCs/>
                <w:sz w:val="21"/>
                <w:szCs w:val="21"/>
              </w:rPr>
              <w:t xml:space="preserve">Name: </w:t>
            </w:r>
            <w:r w:rsidR="004B7233" w:rsidRPr="44A6A877">
              <w:rPr>
                <w:rFonts w:cs="Arial"/>
                <w:sz w:val="21"/>
                <w:szCs w:val="21"/>
              </w:rPr>
              <w:t>Former farmhouse</w:t>
            </w:r>
          </w:p>
        </w:tc>
        <w:tc>
          <w:tcPr>
            <w:tcW w:w="3118" w:type="dxa"/>
          </w:tcPr>
          <w:p w14:paraId="486D578B" w14:textId="70E318CB"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p>
        </w:tc>
      </w:tr>
      <w:tr w:rsidR="00D00A0D" w:rsidRPr="00533CF2" w14:paraId="55B24944" w14:textId="77777777" w:rsidTr="44A6A877">
        <w:trPr>
          <w:trHeight w:val="397"/>
        </w:trPr>
        <w:tc>
          <w:tcPr>
            <w:tcW w:w="5495" w:type="dxa"/>
          </w:tcPr>
          <w:p w14:paraId="762FDA8F" w14:textId="7339D879" w:rsidR="00D00A0D" w:rsidRPr="00580661" w:rsidRDefault="00D00A0D" w:rsidP="00E0419F">
            <w:pPr>
              <w:rPr>
                <w:rFonts w:cs="Arial"/>
                <w:sz w:val="21"/>
                <w:szCs w:val="21"/>
              </w:rPr>
            </w:pPr>
            <w:r w:rsidRPr="00533CF2">
              <w:rPr>
                <w:rFonts w:cs="Arial"/>
                <w:b/>
                <w:sz w:val="21"/>
                <w:szCs w:val="21"/>
              </w:rPr>
              <w:t xml:space="preserve">Place Type: </w:t>
            </w:r>
            <w:r w:rsidR="00522474">
              <w:rPr>
                <w:rFonts w:cs="Arial"/>
                <w:bCs/>
                <w:sz w:val="21"/>
                <w:szCs w:val="21"/>
              </w:rPr>
              <w:t>Residence, outbui</w:t>
            </w:r>
            <w:r w:rsidR="002017C8">
              <w:rPr>
                <w:rFonts w:cs="Arial"/>
                <w:bCs/>
                <w:sz w:val="21"/>
                <w:szCs w:val="21"/>
              </w:rPr>
              <w:t>ld</w:t>
            </w:r>
            <w:r w:rsidR="00522474">
              <w:rPr>
                <w:rFonts w:cs="Arial"/>
                <w:bCs/>
                <w:sz w:val="21"/>
                <w:szCs w:val="21"/>
              </w:rPr>
              <w:t>ings</w:t>
            </w:r>
          </w:p>
        </w:tc>
        <w:tc>
          <w:tcPr>
            <w:tcW w:w="3118" w:type="dxa"/>
          </w:tcPr>
          <w:p w14:paraId="24E08DF2" w14:textId="0E8A7625"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p>
        </w:tc>
      </w:tr>
      <w:tr w:rsidR="00D00A0D" w:rsidRPr="00533CF2" w14:paraId="11DA50E0" w14:textId="77777777" w:rsidTr="44A6A877">
        <w:trPr>
          <w:trHeight w:val="397"/>
        </w:trPr>
        <w:tc>
          <w:tcPr>
            <w:tcW w:w="5495" w:type="dxa"/>
          </w:tcPr>
          <w:p w14:paraId="33B19311" w14:textId="02E622F9" w:rsidR="00D00A0D" w:rsidRPr="002347C3" w:rsidRDefault="00D00A0D" w:rsidP="00E0419F">
            <w:pPr>
              <w:rPr>
                <w:rFonts w:cs="Arial"/>
                <w:bCs/>
                <w:sz w:val="21"/>
                <w:szCs w:val="21"/>
              </w:rPr>
            </w:pPr>
            <w:r w:rsidRPr="00533CF2">
              <w:rPr>
                <w:rFonts w:cs="Arial"/>
                <w:b/>
                <w:sz w:val="21"/>
                <w:szCs w:val="21"/>
              </w:rPr>
              <w:t>Grading:</w:t>
            </w:r>
            <w:r w:rsidR="00580661">
              <w:rPr>
                <w:rFonts w:cs="Arial"/>
                <w:b/>
                <w:sz w:val="21"/>
                <w:szCs w:val="21"/>
              </w:rPr>
              <w:t xml:space="preserve"> </w:t>
            </w:r>
            <w:r w:rsidR="002347C3">
              <w:rPr>
                <w:rFonts w:cs="Arial"/>
                <w:bCs/>
                <w:sz w:val="21"/>
                <w:szCs w:val="21"/>
              </w:rPr>
              <w:t>Significant</w:t>
            </w:r>
          </w:p>
        </w:tc>
        <w:tc>
          <w:tcPr>
            <w:tcW w:w="3118" w:type="dxa"/>
          </w:tcPr>
          <w:p w14:paraId="3E63B317" w14:textId="38AAE11A" w:rsidR="00D00A0D" w:rsidRPr="00533CF2" w:rsidRDefault="00D00A0D" w:rsidP="00014192">
            <w:pPr>
              <w:rPr>
                <w:rFonts w:cs="Arial"/>
                <w:b/>
                <w:sz w:val="21"/>
                <w:szCs w:val="21"/>
              </w:rPr>
            </w:pPr>
            <w:r w:rsidRPr="00533CF2">
              <w:rPr>
                <w:rFonts w:cs="Arial"/>
                <w:b/>
                <w:sz w:val="21"/>
                <w:szCs w:val="21"/>
              </w:rPr>
              <w:t>Builder:</w:t>
            </w:r>
            <w:r w:rsidR="00B9734A">
              <w:rPr>
                <w:rFonts w:cs="Arial"/>
                <w:b/>
                <w:sz w:val="21"/>
                <w:szCs w:val="21"/>
              </w:rPr>
              <w:t xml:space="preserve"> </w:t>
            </w:r>
          </w:p>
        </w:tc>
      </w:tr>
      <w:tr w:rsidR="00D00A0D" w:rsidRPr="00533CF2" w14:paraId="44683571" w14:textId="77777777" w:rsidTr="44A6A877">
        <w:trPr>
          <w:trHeight w:val="397"/>
        </w:trPr>
        <w:tc>
          <w:tcPr>
            <w:tcW w:w="5495" w:type="dxa"/>
          </w:tcPr>
          <w:p w14:paraId="7F5D5AD7" w14:textId="25C0D493" w:rsidR="00D00A0D" w:rsidRPr="00E5434E" w:rsidRDefault="00D00A0D" w:rsidP="0053253F">
            <w:pPr>
              <w:rPr>
                <w:rFonts w:cs="Arial"/>
                <w:bCs/>
                <w:sz w:val="21"/>
                <w:szCs w:val="21"/>
              </w:rPr>
            </w:pPr>
            <w:r w:rsidRPr="00533CF2">
              <w:rPr>
                <w:rFonts w:cs="Arial"/>
                <w:b/>
                <w:sz w:val="21"/>
                <w:szCs w:val="21"/>
              </w:rPr>
              <w:t xml:space="preserve">Extent of Overlay: </w:t>
            </w:r>
            <w:r w:rsidR="002347C3">
              <w:rPr>
                <w:rFonts w:cs="Arial"/>
                <w:bCs/>
                <w:sz w:val="21"/>
                <w:szCs w:val="21"/>
              </w:rPr>
              <w:t>To property boundary</w:t>
            </w:r>
          </w:p>
        </w:tc>
        <w:tc>
          <w:tcPr>
            <w:tcW w:w="3118" w:type="dxa"/>
          </w:tcPr>
          <w:p w14:paraId="3B72F686" w14:textId="233885BF" w:rsidR="00D00A0D" w:rsidRPr="00D46A9F" w:rsidRDefault="00D00A0D" w:rsidP="00465000">
            <w:pPr>
              <w:rPr>
                <w:rFonts w:cs="Arial"/>
                <w:bCs/>
                <w:sz w:val="21"/>
                <w:szCs w:val="21"/>
              </w:rPr>
            </w:pPr>
            <w:r w:rsidRPr="00533CF2">
              <w:rPr>
                <w:rFonts w:cs="Arial"/>
                <w:b/>
                <w:sz w:val="21"/>
                <w:szCs w:val="21"/>
              </w:rPr>
              <w:t>Construction Date:</w:t>
            </w:r>
            <w:r w:rsidR="00B9734A">
              <w:rPr>
                <w:rFonts w:cs="Arial"/>
                <w:b/>
                <w:sz w:val="21"/>
                <w:szCs w:val="21"/>
              </w:rPr>
              <w:t xml:space="preserve"> </w:t>
            </w:r>
            <w:r w:rsidR="00D46A9F">
              <w:rPr>
                <w:rFonts w:cs="Arial"/>
                <w:bCs/>
                <w:sz w:val="21"/>
                <w:szCs w:val="21"/>
              </w:rPr>
              <w:t>1920s</w:t>
            </w:r>
          </w:p>
        </w:tc>
      </w:tr>
    </w:tbl>
    <w:p w14:paraId="0FBA6BFB" w14:textId="77777777" w:rsidR="00F0333B" w:rsidRPr="00533CF2" w:rsidRDefault="00F0333B" w:rsidP="0053253F">
      <w:pPr>
        <w:rPr>
          <w:rFonts w:cs="Arial"/>
          <w:sz w:val="21"/>
          <w:szCs w:val="21"/>
        </w:rPr>
      </w:pPr>
      <w:bookmarkStart w:id="0" w:name="_GoBack"/>
      <w:bookmarkEnd w:id="0"/>
    </w:p>
    <w:p w14:paraId="7DCD23D1" w14:textId="4FED1DBE" w:rsidR="004004A2" w:rsidRPr="00D355A0" w:rsidRDefault="0010458D" w:rsidP="00014192">
      <w:pPr>
        <w:rPr>
          <w:rFonts w:cs="Arial"/>
          <w:sz w:val="21"/>
          <w:szCs w:val="21"/>
        </w:rPr>
      </w:pPr>
      <w:r>
        <w:rPr>
          <w:noProof/>
          <w:lang w:eastAsia="en-AU"/>
        </w:rPr>
        <w:drawing>
          <wp:anchor distT="0" distB="0" distL="0" distR="0" simplePos="0" relativeHeight="251659264" behindDoc="0" locked="0" layoutInCell="1" allowOverlap="1" wp14:anchorId="569AD1F9" wp14:editId="1B7ED855">
            <wp:simplePos x="0" y="0"/>
            <wp:positionH relativeFrom="margin">
              <wp:posOffset>266131</wp:posOffset>
            </wp:positionH>
            <wp:positionV relativeFrom="paragraph">
              <wp:posOffset>163830</wp:posOffset>
            </wp:positionV>
            <wp:extent cx="5039360" cy="3352165"/>
            <wp:effectExtent l="0" t="0" r="8890" b="635"/>
            <wp:wrapTopAndBottom/>
            <wp:docPr id="223" name="image149.jpeg" descr="Macintosh HD:Users:samanthawestbrooke:Documents:SW Pty Ltd:Projects:Nillumbik:Assessments:The 18 2015 Assessments:P's Photos:IMG_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49.jpeg"/>
                    <pic:cNvPicPr/>
                  </pic:nvPicPr>
                  <pic:blipFill>
                    <a:blip r:embed="rId11" cstate="print"/>
                    <a:stretch>
                      <a:fillRect/>
                    </a:stretch>
                  </pic:blipFill>
                  <pic:spPr>
                    <a:xfrm>
                      <a:off x="0" y="0"/>
                      <a:ext cx="5039360" cy="3352165"/>
                    </a:xfrm>
                    <a:prstGeom prst="rect">
                      <a:avLst/>
                    </a:prstGeom>
                  </pic:spPr>
                </pic:pic>
              </a:graphicData>
            </a:graphic>
            <wp14:sizeRelH relativeFrom="margin">
              <wp14:pctWidth>0</wp14:pctWidth>
            </wp14:sizeRelH>
            <wp14:sizeRelV relativeFrom="margin">
              <wp14:pctHeight>0</wp14:pctHeight>
            </wp14:sizeRelV>
          </wp:anchor>
        </w:drawing>
      </w:r>
    </w:p>
    <w:p w14:paraId="41E40C80" w14:textId="221E2976" w:rsidR="003D39C2" w:rsidRPr="00E5434E" w:rsidRDefault="0007320A" w:rsidP="00014192">
      <w:pPr>
        <w:rPr>
          <w:rFonts w:cs="Arial"/>
          <w:i/>
          <w:iCs/>
        </w:rPr>
      </w:pPr>
      <w:r w:rsidRPr="00E5434E">
        <w:rPr>
          <w:rFonts w:cs="Arial"/>
          <w:i/>
          <w:iCs/>
        </w:rPr>
        <w:t>View of 145 River Avenue, Plenty. Source: Peter Mills, 2016.</w:t>
      </w: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098FD1C"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Plenty is a semi-rural district north of Greensborough, located 20 km northeast of Melbourne. The name Plenty is drawn from the nearby Plenty River, which had been proclaimed by Joseph Tice Gellibrand in 1835. Gellibrand chose the name to reflect the promising countryside of the area (Victorian Places).</w:t>
      </w:r>
      <w:r w:rsidRPr="008F12BE">
        <w:rPr>
          <w:rStyle w:val="eop"/>
          <w:rFonts w:ascii="Arial" w:hAnsi="Arial" w:cs="Arial"/>
          <w:sz w:val="21"/>
          <w:szCs w:val="21"/>
          <w:lang w:val="en-US"/>
        </w:rPr>
        <w:t> </w:t>
      </w:r>
    </w:p>
    <w:p w14:paraId="6832F515"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05F125A3"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In 1840, Crown land sales of the area began with blocks ranging from around 300 to 800 acres. Alexander McKillop was the first to purchase a block; Crown Portion 5 Parish of Morang constituting 820 acres. The Crown continued to auction the other blocks in 1853; Patrick Mornane obtaining Portion 3 Section 4, and L.C Luscombe purchasing 308 acres Portion 2 Section 4 (Westbrook 2016).</w:t>
      </w:r>
      <w:r w:rsidRPr="008F12BE">
        <w:rPr>
          <w:rStyle w:val="eop"/>
          <w:rFonts w:ascii="Arial" w:hAnsi="Arial" w:cs="Arial"/>
          <w:sz w:val="21"/>
          <w:szCs w:val="21"/>
          <w:lang w:val="en-US"/>
        </w:rPr>
        <w:t> </w:t>
      </w:r>
    </w:p>
    <w:p w14:paraId="0F3D8D20"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475BACDD"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The settlement of the land between Plenty River and the early Yan Yean Road, (now partly Heard Avenue and partly Yan Yean Road), was gradually subdivided up until the early twentieth century. From this time the need for smallholdings increased substantially and land was divided more frequently as a result (Westbrook 2016).</w:t>
      </w:r>
      <w:r w:rsidRPr="008F12BE">
        <w:rPr>
          <w:rStyle w:val="eop"/>
          <w:rFonts w:ascii="Arial" w:hAnsi="Arial" w:cs="Arial"/>
          <w:sz w:val="21"/>
          <w:szCs w:val="21"/>
          <w:lang w:val="en-US"/>
        </w:rPr>
        <w:t> </w:t>
      </w:r>
    </w:p>
    <w:p w14:paraId="23036285"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53E73FB0"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lastRenderedPageBreak/>
        <w:t>This initial, ad hoc settlement pattern varies to other settlements in the Nillumbik Shire and relates to selection and the take-up of occupation licences in and around the auriferous areas. ‘Glenaulin’ on Portion 2 Section 12 of the Parish of Yan Yean further north, was subdivided into 108 2-acre lots and 72 1-acre lots advertised in early 1854. The selling of the lots, however, was unsuccessful (Westbrook 2016).</w:t>
      </w:r>
      <w:r w:rsidRPr="008F12BE">
        <w:rPr>
          <w:rStyle w:val="eop"/>
          <w:rFonts w:ascii="Arial" w:hAnsi="Arial" w:cs="Arial"/>
          <w:sz w:val="21"/>
          <w:szCs w:val="21"/>
          <w:lang w:val="en-US"/>
        </w:rPr>
        <w:t> </w:t>
      </w:r>
    </w:p>
    <w:p w14:paraId="698325B1"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6749E093"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The alignment of the Greensborough Road (now Yan Yean Road) was altered from the original survey line with a series of curves to the west in 1869 (Argus, 23 June 1869:2). This new road formed a boundary for a number of subsequent subdivisions (Westbrook 2016).</w:t>
      </w:r>
      <w:r w:rsidRPr="008F12BE">
        <w:rPr>
          <w:rStyle w:val="eop"/>
          <w:rFonts w:ascii="Arial" w:hAnsi="Arial" w:cs="Arial"/>
          <w:sz w:val="21"/>
          <w:szCs w:val="21"/>
          <w:lang w:val="en-US"/>
        </w:rPr>
        <w:t> </w:t>
      </w:r>
    </w:p>
    <w:p w14:paraId="1839491D"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68B68B9D"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Those who owned large blocks of land towards the north in Yan Yean Parish attempted ambitious early subdivisions into several smallholder blocks. Portion 2 Section 4 of Yan Yean, to the north of Plenty, was subdivided by Henry and John Cooke who advertised the blocks as, ‘Egglestone Estate’ c1885 (Westbrooke 2016).</w:t>
      </w:r>
      <w:r w:rsidRPr="008F12BE">
        <w:rPr>
          <w:rStyle w:val="eop"/>
          <w:rFonts w:ascii="Arial" w:hAnsi="Arial" w:cs="Arial"/>
          <w:sz w:val="21"/>
          <w:szCs w:val="21"/>
          <w:lang w:val="en-US"/>
        </w:rPr>
        <w:t> </w:t>
      </w:r>
    </w:p>
    <w:p w14:paraId="3E16FB13"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12AAD71B"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The 1870s marked a more traditional pattern of subdivision in the area where larger blocks were divided into two or three lots. This pattern lasted up until 1900 with only few significant homesteads erected during this time.</w:t>
      </w:r>
      <w:r w:rsidRPr="008F12BE">
        <w:rPr>
          <w:rStyle w:val="eop"/>
          <w:rFonts w:ascii="Arial" w:hAnsi="Arial" w:cs="Arial"/>
          <w:sz w:val="21"/>
          <w:szCs w:val="21"/>
          <w:lang w:val="en-US"/>
        </w:rPr>
        <w:t> </w:t>
      </w:r>
    </w:p>
    <w:p w14:paraId="3F0ADA0F"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1E5C5495"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The early twentieth century marked the height of a subdivision trend in the area. This was likely influenced by the success of smallholders, particularly orchardists, in surrounding areas such as Arthurs Creek. Leslie Woodbourne Clarke, a grazier from the Doreen property Linton Grange, is seen to have inspired this trend in 1905 having bought the northern lot of the northern half of the Crown Portion 5 and subdividing it into 9 lots from 10 to 28 acres. The first plot was purchased in 1906 and 8 had been sold by 1914, and the last selling in 1927 (CT: V3098 F446). The southern edge of the subdivision included a private road, Clarkes Road, now Worn’s Lane. This success led to an increase in subdivision in the Plenty area where most smallholdings ranged from 10 to 30 acres.</w:t>
      </w:r>
      <w:r w:rsidRPr="008F12BE">
        <w:rPr>
          <w:rStyle w:val="eop"/>
          <w:rFonts w:ascii="Arial" w:hAnsi="Arial" w:cs="Arial"/>
          <w:sz w:val="21"/>
          <w:szCs w:val="21"/>
          <w:lang w:val="en-US"/>
        </w:rPr>
        <w:t> </w:t>
      </w:r>
    </w:p>
    <w:p w14:paraId="57259784"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 </w:t>
      </w:r>
      <w:r w:rsidRPr="008F12BE">
        <w:rPr>
          <w:rStyle w:val="eop"/>
          <w:rFonts w:ascii="Arial" w:hAnsi="Arial" w:cs="Arial"/>
          <w:sz w:val="21"/>
          <w:szCs w:val="21"/>
          <w:lang w:val="en-US"/>
        </w:rPr>
        <w:t> </w:t>
      </w:r>
    </w:p>
    <w:p w14:paraId="5832966B"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Portion 5 west of Yan Yean Road, owned by Bank of Australia Ltd (presumably the rebadged Real Estate Bank Ltd which had purchased the land in 1888) was subdivided into 17 lots of approximately 20 acres each in 1911. Browns Road provided a central dividing line for the subdivision. 14 had sold by 1916 (CT: V2020 F836).</w:t>
      </w:r>
      <w:r w:rsidRPr="008F12BE">
        <w:rPr>
          <w:rStyle w:val="eop"/>
          <w:rFonts w:ascii="Arial" w:hAnsi="Arial" w:cs="Arial"/>
          <w:sz w:val="21"/>
          <w:szCs w:val="21"/>
          <w:lang w:val="en-US"/>
        </w:rPr>
        <w:t> </w:t>
      </w:r>
    </w:p>
    <w:p w14:paraId="27C15D31"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4020DDDE"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Arthur Grenbry Outhwaite of ‘Tallarook’, Walsh St South Yarra purchased 496 acres, the section of Portion 3 Section 4 west of the Yan Yean Road, from John Butler’s executors in April 1912 (CT: V2326 F062). He subdivided his property into 40 lots immediately (CT: 3589 F730). The Lierse brothers (previously of Oatlands Road) bought the 38 acres at the western end of the subdivision in 1925, which included a number of the weekender lots (CT: V3589 F 730). When Outhwaite died in 1938, only two lots remained unsold (CT: V3589 F730).</w:t>
      </w:r>
      <w:r w:rsidRPr="008F12BE">
        <w:rPr>
          <w:rStyle w:val="eop"/>
          <w:rFonts w:ascii="Arial" w:hAnsi="Arial" w:cs="Arial"/>
          <w:sz w:val="21"/>
          <w:szCs w:val="21"/>
          <w:lang w:val="en-US"/>
        </w:rPr>
        <w:t> </w:t>
      </w:r>
    </w:p>
    <w:p w14:paraId="47EC68E9"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538195A0"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Plenty’s new landscape was celebrated in an article in the Advertiser 1925, declaring it ‘the Toorak of the northern suburbs, where you get a panoramic view of the surrounding landscape for miles; a grand health resort, and only fifteen miles from the GPO. ’It is also notable that the area is described to be ‘thrown open for selection’ in 1913, which is likely referring to the recent surge in subdivisions, that a school had been built, that ‘fine dwellings (were) built here and there’ and the Plenty Social Club and Progress Association had formed (Hurstbridge Advertiser, 31 July 1925:4).</w:t>
      </w:r>
      <w:r w:rsidRPr="008F12BE">
        <w:rPr>
          <w:rStyle w:val="eop"/>
          <w:rFonts w:ascii="Arial" w:hAnsi="Arial" w:cs="Arial"/>
          <w:sz w:val="21"/>
          <w:szCs w:val="21"/>
          <w:lang w:val="en-US"/>
        </w:rPr>
        <w:t> </w:t>
      </w:r>
    </w:p>
    <w:p w14:paraId="2D55F2F1"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5555DCE5"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 xml:space="preserve">Plenty’s town centre was established in the 1920s when the first group of facilities was established such as the school, Methodist church and store (Westbrook 2016). In 1928-29 the Heidelberg Shire resumed 10 acres of land in Portion 2 Section 4 to create a ‘pleasure ground and place of public resort’. In May 1930, the Plenty Progress Association began to raise funds to build a hall on this new recreation reserve (Hurstbridge Advertiser, 9 May </w:t>
      </w:r>
      <w:r>
        <w:rPr>
          <w:rStyle w:val="normaltextrun"/>
          <w:rFonts w:ascii="Arial" w:hAnsi="Arial" w:cs="Arial"/>
          <w:sz w:val="21"/>
          <w:szCs w:val="21"/>
          <w:lang w:val="en-AU"/>
        </w:rPr>
        <w:lastRenderedPageBreak/>
        <w:t>1930:4). Tenders were called in May 1931 and the hall was opened in July 1931 (Hurstbridge Advertiser, 9 May 1930:4; 23 May 1930:1).</w:t>
      </w:r>
      <w:r w:rsidRPr="008F12BE">
        <w:rPr>
          <w:rStyle w:val="eop"/>
          <w:rFonts w:ascii="Arial" w:hAnsi="Arial" w:cs="Arial"/>
          <w:sz w:val="21"/>
          <w:szCs w:val="21"/>
          <w:lang w:val="en-US"/>
        </w:rPr>
        <w:t> </w:t>
      </w:r>
    </w:p>
    <w:p w14:paraId="5A0812C2"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02C486F4" w14:textId="77777777" w:rsidR="008F12BE"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1"/>
          <w:szCs w:val="21"/>
          <w:lang w:val="en-AU"/>
        </w:rPr>
        <w:t>After World War II, additional community facilities were built. The Plenty reserve became a War Memorial Park with memorial gates, toilets, a playground and trees planted by schoolchildren on Arbour Day. (Pearce and Plenty Historical Society 2009). A fire station shed was erected on the corner of Howell Road (Westbrook 2016).</w:t>
      </w:r>
      <w:r w:rsidRPr="008F12BE">
        <w:rPr>
          <w:rStyle w:val="eop"/>
          <w:rFonts w:ascii="Arial" w:hAnsi="Arial" w:cs="Arial"/>
          <w:sz w:val="21"/>
          <w:szCs w:val="21"/>
          <w:lang w:val="en-US"/>
        </w:rPr>
        <w:t> </w:t>
      </w:r>
    </w:p>
    <w:p w14:paraId="1605F8EB" w14:textId="4306A888" w:rsidR="00643D69" w:rsidRPr="008F12BE" w:rsidRDefault="008F12BE" w:rsidP="008F12BE">
      <w:pPr>
        <w:pStyle w:val="paragraph"/>
        <w:spacing w:before="0" w:beforeAutospacing="0" w:after="0" w:afterAutospacing="0"/>
        <w:jc w:val="both"/>
        <w:textAlignment w:val="baseline"/>
        <w:rPr>
          <w:rFonts w:ascii="Segoe UI" w:hAnsi="Segoe UI" w:cs="Segoe UI"/>
          <w:sz w:val="18"/>
          <w:szCs w:val="18"/>
          <w:lang w:val="en-US"/>
        </w:rPr>
      </w:pPr>
      <w:r w:rsidRPr="008F12BE">
        <w:rPr>
          <w:rStyle w:val="eop"/>
          <w:rFonts w:ascii="Arial" w:hAnsi="Arial" w:cs="Arial"/>
          <w:sz w:val="21"/>
          <w:szCs w:val="21"/>
          <w:lang w:val="en-US"/>
        </w:rPr>
        <w:t> </w:t>
      </w:r>
    </w:p>
    <w:p w14:paraId="467A9ECC" w14:textId="51D862A7" w:rsidR="00552E36" w:rsidRDefault="00552E36">
      <w:pPr>
        <w:overflowPunct/>
        <w:autoSpaceDE/>
        <w:autoSpaceDN/>
        <w:adjustRightInd/>
        <w:jc w:val="left"/>
        <w:textAlignment w:val="auto"/>
        <w:rPr>
          <w:rFonts w:cs="Arial"/>
          <w:b/>
          <w:sz w:val="21"/>
          <w:szCs w:val="21"/>
        </w:rPr>
      </w:pPr>
    </w:p>
    <w:p w14:paraId="0F4D836C" w14:textId="5BB193A9" w:rsidR="00F0333B" w:rsidRPr="00533CF2" w:rsidRDefault="00F0333B" w:rsidP="0053253F">
      <w:pPr>
        <w:rPr>
          <w:rFonts w:cs="Arial"/>
          <w:b/>
          <w:sz w:val="21"/>
          <w:szCs w:val="21"/>
        </w:rPr>
      </w:pPr>
      <w:r w:rsidRPr="00533CF2">
        <w:rPr>
          <w:rFonts w:cs="Arial"/>
          <w:b/>
          <w:sz w:val="21"/>
          <w:szCs w:val="21"/>
        </w:rPr>
        <w:t>History</w:t>
      </w:r>
    </w:p>
    <w:p w14:paraId="41126DF2" w14:textId="351BC3C2" w:rsidR="00D153A4" w:rsidRPr="00552E36" w:rsidRDefault="00D153A4" w:rsidP="00552E36"/>
    <w:p w14:paraId="323C3D23" w14:textId="06950D65" w:rsidR="00F52BB1" w:rsidRPr="00E5434E" w:rsidRDefault="00F52BB1" w:rsidP="00552E36">
      <w:pPr>
        <w:rPr>
          <w:sz w:val="21"/>
          <w:szCs w:val="21"/>
        </w:rPr>
      </w:pPr>
      <w:r w:rsidRPr="00E5434E">
        <w:rPr>
          <w:sz w:val="21"/>
          <w:szCs w:val="21"/>
        </w:rPr>
        <w:t xml:space="preserve">The first </w:t>
      </w:r>
      <w:r w:rsidR="00757C46" w:rsidRPr="00E5434E">
        <w:rPr>
          <w:sz w:val="21"/>
          <w:szCs w:val="21"/>
        </w:rPr>
        <w:t xml:space="preserve">title record for this land </w:t>
      </w:r>
      <w:r w:rsidR="009213EA" w:rsidRPr="00E5434E">
        <w:rPr>
          <w:sz w:val="21"/>
          <w:szCs w:val="21"/>
        </w:rPr>
        <w:t>shows it was purchased in 1891 by John Butler, who then subdivided the land</w:t>
      </w:r>
      <w:r w:rsidR="00374BF0" w:rsidRPr="00E5434E">
        <w:rPr>
          <w:sz w:val="21"/>
          <w:szCs w:val="21"/>
        </w:rPr>
        <w:t xml:space="preserve"> (</w:t>
      </w:r>
      <w:r w:rsidR="00BC06C3" w:rsidRPr="00E5434E">
        <w:rPr>
          <w:sz w:val="21"/>
          <w:szCs w:val="21"/>
        </w:rPr>
        <w:t>CT: V</w:t>
      </w:r>
      <w:r w:rsidR="00374BF0" w:rsidRPr="00E5434E">
        <w:rPr>
          <w:sz w:val="21"/>
          <w:szCs w:val="21"/>
        </w:rPr>
        <w:t>2326 F062)</w:t>
      </w:r>
      <w:r w:rsidR="00585139" w:rsidRPr="00E5434E">
        <w:rPr>
          <w:sz w:val="21"/>
          <w:szCs w:val="21"/>
        </w:rPr>
        <w:t xml:space="preserve">. The subject land was purchased in </w:t>
      </w:r>
      <w:r w:rsidR="00675A5A" w:rsidRPr="00E5434E">
        <w:rPr>
          <w:sz w:val="21"/>
          <w:szCs w:val="21"/>
        </w:rPr>
        <w:t>1912 by Arthur Outhwaite, who</w:t>
      </w:r>
      <w:r w:rsidR="00374BF0" w:rsidRPr="00E5434E">
        <w:rPr>
          <w:sz w:val="21"/>
          <w:szCs w:val="21"/>
        </w:rPr>
        <w:t xml:space="preserve"> immediately subdivided it into 52 lots (</w:t>
      </w:r>
      <w:r w:rsidR="00BC06C3" w:rsidRPr="00E5434E">
        <w:rPr>
          <w:sz w:val="21"/>
          <w:szCs w:val="21"/>
        </w:rPr>
        <w:t>CT: V</w:t>
      </w:r>
      <w:r w:rsidR="00374BF0" w:rsidRPr="00E5434E">
        <w:rPr>
          <w:sz w:val="21"/>
          <w:szCs w:val="21"/>
        </w:rPr>
        <w:t xml:space="preserve">3589 F730). </w:t>
      </w:r>
    </w:p>
    <w:p w14:paraId="45064CC8" w14:textId="78EAF5A1" w:rsidR="00374BF0" w:rsidRPr="00E5434E" w:rsidRDefault="00374BF0" w:rsidP="00552E36">
      <w:pPr>
        <w:rPr>
          <w:sz w:val="21"/>
          <w:szCs w:val="21"/>
        </w:rPr>
      </w:pPr>
    </w:p>
    <w:p w14:paraId="76F9DC1B" w14:textId="133CAEFE" w:rsidR="00921875" w:rsidRPr="00E5434E" w:rsidRDefault="00921875" w:rsidP="00552E36">
      <w:pPr>
        <w:rPr>
          <w:sz w:val="21"/>
          <w:szCs w:val="21"/>
        </w:rPr>
      </w:pPr>
      <w:r w:rsidRPr="00E5434E">
        <w:rPr>
          <w:sz w:val="21"/>
          <w:szCs w:val="21"/>
        </w:rPr>
        <w:t>The resulting ‘Plenty River Estate’ was advertised as “splendid fruit growing land, also very suitable for poultry, flowers, bees or pig rearing”</w:t>
      </w:r>
      <w:r w:rsidR="00955EF9" w:rsidRPr="00E5434E">
        <w:rPr>
          <w:sz w:val="21"/>
          <w:szCs w:val="21"/>
        </w:rPr>
        <w:t xml:space="preserve"> (</w:t>
      </w:r>
      <w:r w:rsidR="00EE0EA7" w:rsidRPr="00E5434E">
        <w:rPr>
          <w:sz w:val="21"/>
          <w:szCs w:val="21"/>
        </w:rPr>
        <w:t xml:space="preserve">‘Plenty River Estate’ </w:t>
      </w:r>
      <w:r w:rsidR="00162367" w:rsidRPr="00E5434E">
        <w:rPr>
          <w:sz w:val="21"/>
          <w:szCs w:val="21"/>
        </w:rPr>
        <w:t>c1912)</w:t>
      </w:r>
      <w:r w:rsidRPr="00E5434E">
        <w:rPr>
          <w:sz w:val="21"/>
          <w:szCs w:val="21"/>
        </w:rPr>
        <w:t>. Less than a third of the lots had been sold by 1920, and little if any house or road building had occurred at this stage</w:t>
      </w:r>
      <w:r w:rsidR="00162367" w:rsidRPr="00E5434E">
        <w:rPr>
          <w:sz w:val="21"/>
          <w:szCs w:val="21"/>
        </w:rPr>
        <w:t xml:space="preserve"> (</w:t>
      </w:r>
      <w:r w:rsidR="00A638D6" w:rsidRPr="00E5434E">
        <w:rPr>
          <w:sz w:val="21"/>
          <w:szCs w:val="21"/>
        </w:rPr>
        <w:t>C</w:t>
      </w:r>
      <w:r w:rsidR="003948CB" w:rsidRPr="00E5434E">
        <w:rPr>
          <w:sz w:val="21"/>
          <w:szCs w:val="21"/>
        </w:rPr>
        <w:t>th</w:t>
      </w:r>
      <w:r w:rsidR="00A638D6" w:rsidRPr="00E5434E">
        <w:rPr>
          <w:sz w:val="21"/>
          <w:szCs w:val="21"/>
        </w:rPr>
        <w:t xml:space="preserve"> Dept. of Defence </w:t>
      </w:r>
      <w:r w:rsidR="00AC761D" w:rsidRPr="00E5434E">
        <w:rPr>
          <w:sz w:val="21"/>
          <w:szCs w:val="21"/>
        </w:rPr>
        <w:t>1920)</w:t>
      </w:r>
      <w:r w:rsidRPr="00E5434E">
        <w:rPr>
          <w:sz w:val="21"/>
          <w:szCs w:val="21"/>
        </w:rPr>
        <w:t>.</w:t>
      </w:r>
    </w:p>
    <w:p w14:paraId="74DBD76B" w14:textId="77777777" w:rsidR="00522474" w:rsidRPr="00E5434E" w:rsidRDefault="00522474" w:rsidP="00552E36">
      <w:pPr>
        <w:rPr>
          <w:sz w:val="21"/>
          <w:szCs w:val="21"/>
        </w:rPr>
      </w:pPr>
    </w:p>
    <w:p w14:paraId="19AA5555" w14:textId="638BF45A" w:rsidR="001751E8" w:rsidRDefault="00466A80" w:rsidP="00552E36">
      <w:pPr>
        <w:rPr>
          <w:sz w:val="21"/>
          <w:szCs w:val="21"/>
        </w:rPr>
      </w:pPr>
      <w:r w:rsidRPr="00E5434E">
        <w:rPr>
          <w:sz w:val="21"/>
          <w:szCs w:val="21"/>
        </w:rPr>
        <w:t>Edward William Gladman, labourer of Tanck’s Corner</w:t>
      </w:r>
      <w:r w:rsidR="001751E8" w:rsidRPr="00E5434E">
        <w:rPr>
          <w:sz w:val="21"/>
          <w:szCs w:val="21"/>
        </w:rPr>
        <w:t xml:space="preserve"> (now Yarrambat)</w:t>
      </w:r>
      <w:r w:rsidRPr="00E5434E">
        <w:rPr>
          <w:sz w:val="21"/>
          <w:szCs w:val="21"/>
        </w:rPr>
        <w:t xml:space="preserve">, purchased 11 acres in 1921. </w:t>
      </w:r>
      <w:r w:rsidR="00A11117" w:rsidRPr="00E5434E">
        <w:rPr>
          <w:sz w:val="21"/>
          <w:szCs w:val="21"/>
        </w:rPr>
        <w:t xml:space="preserve">A 1928 newspaper </w:t>
      </w:r>
      <w:r w:rsidR="00111C16" w:rsidRPr="00E5434E">
        <w:rPr>
          <w:sz w:val="21"/>
          <w:szCs w:val="21"/>
        </w:rPr>
        <w:t>article explains that the Gladman</w:t>
      </w:r>
      <w:r w:rsidR="00BC06C3">
        <w:rPr>
          <w:sz w:val="21"/>
          <w:szCs w:val="21"/>
        </w:rPr>
        <w:t>’</w:t>
      </w:r>
      <w:r w:rsidR="00111C16" w:rsidRPr="00E5434E">
        <w:rPr>
          <w:sz w:val="21"/>
          <w:szCs w:val="21"/>
        </w:rPr>
        <w:t>s had built their own residence</w:t>
      </w:r>
      <w:r w:rsidR="00E3414B" w:rsidRPr="00E5434E">
        <w:rPr>
          <w:sz w:val="21"/>
          <w:szCs w:val="21"/>
        </w:rPr>
        <w:t xml:space="preserve"> by that time</w:t>
      </w:r>
      <w:r w:rsidR="00333594">
        <w:rPr>
          <w:sz w:val="21"/>
          <w:szCs w:val="21"/>
        </w:rPr>
        <w:t xml:space="preserve"> and </w:t>
      </w:r>
      <w:r w:rsidR="00333594" w:rsidRPr="003F39D5">
        <w:rPr>
          <w:sz w:val="21"/>
          <w:szCs w:val="21"/>
        </w:rPr>
        <w:t>they were lauded as “indefatigable workers for the welfare of the district”</w:t>
      </w:r>
      <w:r w:rsidR="00E3414B" w:rsidRPr="00453C82">
        <w:rPr>
          <w:sz w:val="21"/>
          <w:szCs w:val="21"/>
        </w:rPr>
        <w:t xml:space="preserve"> (Advertiser (Hurstbridge) 27 July 1928:2)</w:t>
      </w:r>
      <w:r w:rsidR="00333594">
        <w:rPr>
          <w:sz w:val="21"/>
          <w:szCs w:val="21"/>
        </w:rPr>
        <w:t xml:space="preserve">. The </w:t>
      </w:r>
      <w:r w:rsidR="00E3414B" w:rsidRPr="00453C82">
        <w:rPr>
          <w:sz w:val="21"/>
          <w:szCs w:val="21"/>
        </w:rPr>
        <w:t>house is visible on a 1930 topographic map</w:t>
      </w:r>
      <w:r w:rsidR="00333594">
        <w:rPr>
          <w:sz w:val="21"/>
          <w:szCs w:val="21"/>
        </w:rPr>
        <w:t>, which also shows o</w:t>
      </w:r>
      <w:r w:rsidR="00333594" w:rsidRPr="00E915B6">
        <w:rPr>
          <w:sz w:val="21"/>
          <w:szCs w:val="21"/>
        </w:rPr>
        <w:t>rchards in the vicinity, but not on this property</w:t>
      </w:r>
      <w:r w:rsidR="00E3414B" w:rsidRPr="00453C82">
        <w:rPr>
          <w:sz w:val="21"/>
          <w:szCs w:val="21"/>
        </w:rPr>
        <w:t xml:space="preserve"> (Australian Section, Imperial General Staff c1930). This dates the house between 1921 and 1928. </w:t>
      </w:r>
    </w:p>
    <w:p w14:paraId="163E3D09" w14:textId="77777777" w:rsidR="00DA6CDA" w:rsidRDefault="00DA6CDA" w:rsidP="00552E36">
      <w:pPr>
        <w:rPr>
          <w:sz w:val="21"/>
          <w:szCs w:val="21"/>
        </w:rPr>
      </w:pPr>
    </w:p>
    <w:p w14:paraId="436BAD66" w14:textId="3D5CA574" w:rsidR="00DA6CDA" w:rsidRPr="00453C82" w:rsidRDefault="00DA6CDA" w:rsidP="00552E36">
      <w:pPr>
        <w:rPr>
          <w:sz w:val="21"/>
          <w:szCs w:val="21"/>
        </w:rPr>
      </w:pPr>
      <w:r>
        <w:rPr>
          <w:sz w:val="21"/>
          <w:szCs w:val="21"/>
        </w:rPr>
        <w:t>While the land settled and house constructed during the period of the Closer Settlement pr</w:t>
      </w:r>
      <w:r w:rsidR="00420816">
        <w:rPr>
          <w:sz w:val="21"/>
          <w:szCs w:val="21"/>
        </w:rPr>
        <w:t xml:space="preserve">ogram, no evidence </w:t>
      </w:r>
      <w:r w:rsidR="0006743D">
        <w:rPr>
          <w:sz w:val="21"/>
          <w:szCs w:val="21"/>
        </w:rPr>
        <w:t xml:space="preserve">has been found that indicates this property was part of the scheme. </w:t>
      </w:r>
    </w:p>
    <w:p w14:paraId="09C2A7D2" w14:textId="77777777" w:rsidR="00466A80" w:rsidRPr="00E5434E" w:rsidRDefault="00466A80" w:rsidP="00552E36">
      <w:pPr>
        <w:rPr>
          <w:sz w:val="21"/>
          <w:szCs w:val="21"/>
        </w:rPr>
      </w:pPr>
    </w:p>
    <w:p w14:paraId="004AB3CB" w14:textId="793BAC64" w:rsidR="00466A80" w:rsidRPr="000079E1" w:rsidRDefault="00466A80" w:rsidP="00552E36">
      <w:pPr>
        <w:rPr>
          <w:sz w:val="21"/>
          <w:szCs w:val="21"/>
        </w:rPr>
      </w:pPr>
      <w:r w:rsidRPr="00E5434E">
        <w:rPr>
          <w:sz w:val="21"/>
          <w:szCs w:val="21"/>
        </w:rPr>
        <w:t>Edward Ernest Cunningham, toolmaker of Northcote, purchased the land in October 1928</w:t>
      </w:r>
      <w:r w:rsidR="00AF2C2E" w:rsidRPr="00E5434E">
        <w:rPr>
          <w:sz w:val="21"/>
          <w:szCs w:val="21"/>
        </w:rPr>
        <w:t xml:space="preserve"> (</w:t>
      </w:r>
      <w:r w:rsidR="00BC06C3" w:rsidRPr="00E5434E">
        <w:rPr>
          <w:sz w:val="21"/>
          <w:szCs w:val="21"/>
        </w:rPr>
        <w:t>CT: V</w:t>
      </w:r>
      <w:r w:rsidR="00A67C66" w:rsidRPr="00E5434E">
        <w:rPr>
          <w:sz w:val="21"/>
          <w:szCs w:val="21"/>
        </w:rPr>
        <w:t>4501 F118)</w:t>
      </w:r>
      <w:r w:rsidRPr="00E5434E">
        <w:rPr>
          <w:sz w:val="21"/>
          <w:szCs w:val="21"/>
        </w:rPr>
        <w:t xml:space="preserve">. </w:t>
      </w:r>
      <w:r w:rsidR="006C294B" w:rsidRPr="00E5434E">
        <w:rPr>
          <w:sz w:val="21"/>
          <w:szCs w:val="21"/>
        </w:rPr>
        <w:t xml:space="preserve">Cunningham </w:t>
      </w:r>
      <w:r w:rsidRPr="00E5434E">
        <w:rPr>
          <w:sz w:val="21"/>
          <w:szCs w:val="21"/>
        </w:rPr>
        <w:t>married in 1930</w:t>
      </w:r>
      <w:r w:rsidR="00A67C66" w:rsidRPr="00E5434E">
        <w:rPr>
          <w:sz w:val="21"/>
          <w:szCs w:val="21"/>
        </w:rPr>
        <w:t xml:space="preserve"> (</w:t>
      </w:r>
      <w:r w:rsidR="00834203">
        <w:rPr>
          <w:sz w:val="21"/>
          <w:szCs w:val="21"/>
        </w:rPr>
        <w:t>BDM</w:t>
      </w:r>
      <w:r w:rsidR="008618F1">
        <w:rPr>
          <w:sz w:val="21"/>
          <w:szCs w:val="21"/>
        </w:rPr>
        <w:t>,</w:t>
      </w:r>
      <w:r w:rsidR="00834203">
        <w:rPr>
          <w:sz w:val="21"/>
          <w:szCs w:val="21"/>
        </w:rPr>
        <w:t xml:space="preserve"> </w:t>
      </w:r>
      <w:r w:rsidR="00240069" w:rsidRPr="00E5434E">
        <w:rPr>
          <w:sz w:val="21"/>
          <w:szCs w:val="21"/>
        </w:rPr>
        <w:t>Victoria)</w:t>
      </w:r>
      <w:r w:rsidRPr="00E5434E">
        <w:rPr>
          <w:sz w:val="21"/>
          <w:szCs w:val="21"/>
        </w:rPr>
        <w:t>. It appears he initially engaged in poultry farming</w:t>
      </w:r>
      <w:r w:rsidR="009278BE" w:rsidRPr="00E5434E">
        <w:rPr>
          <w:sz w:val="21"/>
          <w:szCs w:val="21"/>
        </w:rPr>
        <w:t xml:space="preserve"> (</w:t>
      </w:r>
      <w:r w:rsidR="00B32D49" w:rsidRPr="00E5434E">
        <w:rPr>
          <w:sz w:val="21"/>
          <w:szCs w:val="21"/>
        </w:rPr>
        <w:t>Advertiser (Hurstbridge) 17 May 1929)</w:t>
      </w:r>
      <w:r w:rsidRPr="00E5434E">
        <w:rPr>
          <w:sz w:val="21"/>
          <w:szCs w:val="21"/>
        </w:rPr>
        <w:t>. Mr and</w:t>
      </w:r>
      <w:r w:rsidRPr="000079E1">
        <w:rPr>
          <w:sz w:val="21"/>
          <w:szCs w:val="21"/>
        </w:rPr>
        <w:t xml:space="preserve"> Mrs Cunningham appeared regularly at the Plenty ball during the 1930s</w:t>
      </w:r>
      <w:r w:rsidR="00B32D49" w:rsidRPr="000079E1">
        <w:rPr>
          <w:sz w:val="21"/>
          <w:szCs w:val="21"/>
        </w:rPr>
        <w:t xml:space="preserve"> (</w:t>
      </w:r>
      <w:r w:rsidR="006D0D41" w:rsidRPr="000079E1">
        <w:rPr>
          <w:sz w:val="21"/>
          <w:szCs w:val="21"/>
        </w:rPr>
        <w:t>Advertiser, (</w:t>
      </w:r>
      <w:r w:rsidR="00B32D49" w:rsidRPr="000079E1">
        <w:rPr>
          <w:sz w:val="21"/>
          <w:szCs w:val="21"/>
        </w:rPr>
        <w:t>Hurstbridge), 21 July 1933</w:t>
      </w:r>
      <w:r w:rsidR="006D0D41" w:rsidRPr="000079E1">
        <w:rPr>
          <w:sz w:val="21"/>
          <w:szCs w:val="21"/>
        </w:rPr>
        <w:t xml:space="preserve"> p4; 10 November 1939, p2)</w:t>
      </w:r>
      <w:r w:rsidRPr="000079E1">
        <w:rPr>
          <w:sz w:val="21"/>
          <w:szCs w:val="21"/>
        </w:rPr>
        <w:t>.</w:t>
      </w:r>
    </w:p>
    <w:p w14:paraId="4CE028EB" w14:textId="77777777" w:rsidR="00466A80" w:rsidRPr="000079E1" w:rsidRDefault="00466A80" w:rsidP="00552E36">
      <w:pPr>
        <w:rPr>
          <w:sz w:val="21"/>
          <w:szCs w:val="21"/>
        </w:rPr>
      </w:pPr>
    </w:p>
    <w:p w14:paraId="553898C2" w14:textId="40F528B6" w:rsidR="00A325A6" w:rsidRPr="000079E1" w:rsidRDefault="00466A80" w:rsidP="00552E36">
      <w:pPr>
        <w:rPr>
          <w:sz w:val="21"/>
          <w:szCs w:val="21"/>
        </w:rPr>
      </w:pPr>
      <w:r w:rsidRPr="000079E1">
        <w:rPr>
          <w:sz w:val="21"/>
          <w:szCs w:val="21"/>
        </w:rPr>
        <w:t xml:space="preserve">The </w:t>
      </w:r>
      <w:r w:rsidR="00BC06C3" w:rsidRPr="000079E1">
        <w:rPr>
          <w:sz w:val="21"/>
          <w:szCs w:val="21"/>
        </w:rPr>
        <w:t>Cunningham’s</w:t>
      </w:r>
      <w:r w:rsidRPr="000079E1">
        <w:rPr>
          <w:sz w:val="21"/>
          <w:szCs w:val="21"/>
        </w:rPr>
        <w:t xml:space="preserve"> subdivided the land into two lots in 1969. </w:t>
      </w:r>
      <w:r w:rsidR="00A325A6" w:rsidRPr="000079E1">
        <w:rPr>
          <w:sz w:val="21"/>
          <w:szCs w:val="21"/>
        </w:rPr>
        <w:t xml:space="preserve">The subject site </w:t>
      </w:r>
      <w:r w:rsidR="00C32BB6" w:rsidRPr="000079E1">
        <w:rPr>
          <w:sz w:val="21"/>
          <w:szCs w:val="21"/>
        </w:rPr>
        <w:t>was the northern portion, Lot 1 (</w:t>
      </w:r>
      <w:r w:rsidR="00BC06C3" w:rsidRPr="000079E1">
        <w:rPr>
          <w:sz w:val="21"/>
          <w:szCs w:val="21"/>
        </w:rPr>
        <w:t>CT: V</w:t>
      </w:r>
      <w:r w:rsidR="00C32BB6" w:rsidRPr="000079E1">
        <w:rPr>
          <w:sz w:val="21"/>
          <w:szCs w:val="21"/>
        </w:rPr>
        <w:t>4501 F118)</w:t>
      </w:r>
      <w:r w:rsidR="006A5927" w:rsidRPr="000079E1">
        <w:rPr>
          <w:sz w:val="21"/>
          <w:szCs w:val="21"/>
        </w:rPr>
        <w:t>. Edward Cunningham died in 19</w:t>
      </w:r>
      <w:r w:rsidR="000C4F37" w:rsidRPr="000079E1">
        <w:rPr>
          <w:sz w:val="21"/>
          <w:szCs w:val="21"/>
        </w:rPr>
        <w:t>83</w:t>
      </w:r>
      <w:r w:rsidR="000079E1" w:rsidRPr="000079E1">
        <w:rPr>
          <w:sz w:val="21"/>
          <w:szCs w:val="21"/>
        </w:rPr>
        <w:t xml:space="preserve"> (BDM, Victor</w:t>
      </w:r>
      <w:r w:rsidR="008618F1">
        <w:rPr>
          <w:sz w:val="21"/>
          <w:szCs w:val="21"/>
        </w:rPr>
        <w:t>i</w:t>
      </w:r>
      <w:r w:rsidR="000079E1" w:rsidRPr="000079E1">
        <w:rPr>
          <w:sz w:val="21"/>
          <w:szCs w:val="21"/>
        </w:rPr>
        <w:t>a)</w:t>
      </w:r>
      <w:r w:rsidR="000C4F37" w:rsidRPr="000079E1">
        <w:rPr>
          <w:sz w:val="21"/>
          <w:szCs w:val="21"/>
        </w:rPr>
        <w:t xml:space="preserve"> and in 1984 the land</w:t>
      </w:r>
      <w:r w:rsidR="00C32BB6" w:rsidRPr="000079E1">
        <w:rPr>
          <w:sz w:val="21"/>
          <w:szCs w:val="21"/>
        </w:rPr>
        <w:t xml:space="preserve"> passed to </w:t>
      </w:r>
      <w:r w:rsidR="00AB313E" w:rsidRPr="000079E1">
        <w:rPr>
          <w:sz w:val="21"/>
          <w:szCs w:val="21"/>
        </w:rPr>
        <w:t>Edward Arthur and Carmel Louise</w:t>
      </w:r>
      <w:r w:rsidR="00A626FD" w:rsidRPr="000079E1">
        <w:rPr>
          <w:sz w:val="21"/>
          <w:szCs w:val="21"/>
        </w:rPr>
        <w:t xml:space="preserve"> Cunningham who were living on Lot 2 (</w:t>
      </w:r>
      <w:r w:rsidR="00BC06C3" w:rsidRPr="000079E1">
        <w:rPr>
          <w:sz w:val="21"/>
          <w:szCs w:val="21"/>
        </w:rPr>
        <w:t>CT: V</w:t>
      </w:r>
      <w:r w:rsidR="00A626FD" w:rsidRPr="000079E1">
        <w:rPr>
          <w:sz w:val="21"/>
          <w:szCs w:val="21"/>
        </w:rPr>
        <w:t>8779 F118).</w:t>
      </w:r>
      <w:r w:rsidR="007A0BFE">
        <w:rPr>
          <w:sz w:val="21"/>
          <w:szCs w:val="21"/>
        </w:rPr>
        <w:t xml:space="preserve"> </w:t>
      </w:r>
      <w:r w:rsidR="009B7208">
        <w:rPr>
          <w:sz w:val="21"/>
          <w:szCs w:val="21"/>
        </w:rPr>
        <w:t>The</w:t>
      </w:r>
      <w:r w:rsidR="007A0BFE">
        <w:rPr>
          <w:sz w:val="21"/>
          <w:szCs w:val="21"/>
        </w:rPr>
        <w:t xml:space="preserve"> </w:t>
      </w:r>
      <w:r w:rsidR="00D90DF9">
        <w:rPr>
          <w:sz w:val="21"/>
          <w:szCs w:val="21"/>
        </w:rPr>
        <w:t xml:space="preserve">property was </w:t>
      </w:r>
      <w:r w:rsidR="009B7208">
        <w:rPr>
          <w:sz w:val="21"/>
          <w:szCs w:val="21"/>
        </w:rPr>
        <w:t>most recently</w:t>
      </w:r>
      <w:r w:rsidR="00D90DF9">
        <w:rPr>
          <w:sz w:val="21"/>
          <w:szCs w:val="21"/>
        </w:rPr>
        <w:t xml:space="preserve"> sold in 2010</w:t>
      </w:r>
      <w:r w:rsidR="009B7208">
        <w:rPr>
          <w:sz w:val="21"/>
          <w:szCs w:val="21"/>
        </w:rPr>
        <w:t xml:space="preserve"> (realestate.com)</w:t>
      </w:r>
      <w:r w:rsidR="00D90DF9">
        <w:rPr>
          <w:sz w:val="21"/>
          <w:szCs w:val="21"/>
        </w:rPr>
        <w:t>.</w:t>
      </w:r>
    </w:p>
    <w:p w14:paraId="192FBF53" w14:textId="77777777" w:rsidR="00FB1C12" w:rsidRPr="000079E1" w:rsidRDefault="00FB1C12" w:rsidP="00552E36">
      <w:pPr>
        <w:rPr>
          <w:sz w:val="21"/>
          <w:szCs w:val="21"/>
        </w:rPr>
      </w:pPr>
    </w:p>
    <w:p w14:paraId="41A14EF2" w14:textId="77777777" w:rsidR="00362C82" w:rsidRDefault="00362C82" w:rsidP="00552E36"/>
    <w:p w14:paraId="3935772F" w14:textId="77777777" w:rsidR="00033575" w:rsidRPr="00552E36" w:rsidRDefault="00033575" w:rsidP="00552E36"/>
    <w:p w14:paraId="1FCF83BF" w14:textId="77777777" w:rsidR="00552E36" w:rsidRPr="00552E36" w:rsidRDefault="00552E36" w:rsidP="00552E36">
      <w:r w:rsidRPr="00552E36">
        <w:br w:type="page"/>
      </w:r>
    </w:p>
    <w:p w14:paraId="3DC75B64" w14:textId="1B68D567" w:rsidR="00955B5A" w:rsidRDefault="00F0333B" w:rsidP="0053253F">
      <w:pPr>
        <w:rPr>
          <w:rFonts w:cs="Arial"/>
          <w:b/>
          <w:sz w:val="21"/>
          <w:szCs w:val="21"/>
        </w:rPr>
      </w:pPr>
      <w:r w:rsidRPr="00533CF2">
        <w:rPr>
          <w:rFonts w:cs="Arial"/>
          <w:b/>
          <w:sz w:val="21"/>
          <w:szCs w:val="21"/>
        </w:rPr>
        <w:lastRenderedPageBreak/>
        <w:t>Description &amp; Integrity</w:t>
      </w:r>
    </w:p>
    <w:p w14:paraId="4307FC89" w14:textId="77777777" w:rsidR="0013749C" w:rsidRDefault="0013749C" w:rsidP="0053253F">
      <w:pPr>
        <w:rPr>
          <w:rFonts w:cs="Arial"/>
          <w:sz w:val="21"/>
          <w:szCs w:val="21"/>
        </w:rPr>
      </w:pPr>
    </w:p>
    <w:p w14:paraId="7E7579B8" w14:textId="0DDE0421" w:rsidR="007A741B" w:rsidRPr="00E5434E" w:rsidRDefault="007A741B" w:rsidP="00445723">
      <w:pPr>
        <w:rPr>
          <w:sz w:val="21"/>
          <w:szCs w:val="21"/>
        </w:rPr>
      </w:pPr>
      <w:r w:rsidRPr="00E5434E">
        <w:rPr>
          <w:sz w:val="21"/>
          <w:szCs w:val="21"/>
        </w:rPr>
        <w:t>The site contains a substantially intact 1920s brick bungalow with an all</w:t>
      </w:r>
      <w:r w:rsidR="00445723" w:rsidRPr="00E5434E">
        <w:rPr>
          <w:sz w:val="21"/>
          <w:szCs w:val="21"/>
        </w:rPr>
        <w:t>-</w:t>
      </w:r>
      <w:r w:rsidRPr="00E5434E">
        <w:rPr>
          <w:sz w:val="21"/>
          <w:szCs w:val="21"/>
        </w:rPr>
        <w:t>encompassing hipped roof and a projecting gable wing to the front with a skillion verandah. The verandah has detailing typical of a 1920s bungalow with a brick balustrade and pillars. There has been a skillion porch addition to the east side. The original timber</w:t>
      </w:r>
      <w:r w:rsidR="00812DF6" w:rsidRPr="00E5434E">
        <w:rPr>
          <w:sz w:val="21"/>
          <w:szCs w:val="21"/>
        </w:rPr>
        <w:t>-</w:t>
      </w:r>
      <w:r w:rsidRPr="00E5434E">
        <w:rPr>
          <w:sz w:val="21"/>
          <w:szCs w:val="21"/>
        </w:rPr>
        <w:t xml:space="preserve">framed windows to the front and sides appear to be intact. There are two sheds to the rear of the house </w:t>
      </w:r>
      <w:r w:rsidR="00B80FF3" w:rsidRPr="00E5434E">
        <w:rPr>
          <w:sz w:val="21"/>
          <w:szCs w:val="21"/>
        </w:rPr>
        <w:t>which</w:t>
      </w:r>
      <w:r w:rsidRPr="00E5434E">
        <w:rPr>
          <w:sz w:val="21"/>
          <w:szCs w:val="21"/>
        </w:rPr>
        <w:t xml:space="preserve"> have gable roofs clad in corrugated galvanised iron. The house is set</w:t>
      </w:r>
      <w:r w:rsidR="00B80FF3" w:rsidRPr="00E5434E">
        <w:rPr>
          <w:sz w:val="21"/>
          <w:szCs w:val="21"/>
        </w:rPr>
        <w:t xml:space="preserve"> well</w:t>
      </w:r>
      <w:r w:rsidRPr="00E5434E">
        <w:rPr>
          <w:sz w:val="21"/>
          <w:szCs w:val="21"/>
        </w:rPr>
        <w:t xml:space="preserve"> back from the road.</w:t>
      </w:r>
    </w:p>
    <w:p w14:paraId="5EA4D53B" w14:textId="48FC24C0" w:rsidR="0097558C" w:rsidRDefault="0097558C" w:rsidP="0053253F">
      <w:pPr>
        <w:rPr>
          <w:rFonts w:cs="Arial"/>
          <w:sz w:val="21"/>
          <w:szCs w:val="21"/>
        </w:rPr>
      </w:pPr>
    </w:p>
    <w:p w14:paraId="6029CE37" w14:textId="32419E22" w:rsidR="006E17E9" w:rsidRDefault="00D2727A" w:rsidP="0053253F">
      <w:pPr>
        <w:rPr>
          <w:rFonts w:cs="Arial"/>
          <w:sz w:val="21"/>
          <w:szCs w:val="21"/>
        </w:rPr>
      </w:pPr>
      <w:r>
        <w:rPr>
          <w:rFonts w:cs="Arial"/>
          <w:noProof/>
          <w:sz w:val="21"/>
          <w:szCs w:val="21"/>
          <w:lang w:eastAsia="en-AU"/>
        </w:rPr>
        <mc:AlternateContent>
          <mc:Choice Requires="wps">
            <w:drawing>
              <wp:anchor distT="0" distB="0" distL="114300" distR="114300" simplePos="0" relativeHeight="251660288" behindDoc="0" locked="0" layoutInCell="1" allowOverlap="1" wp14:anchorId="2F28752A" wp14:editId="4C0A21F1">
                <wp:simplePos x="0" y="0"/>
                <wp:positionH relativeFrom="column">
                  <wp:posOffset>3079750</wp:posOffset>
                </wp:positionH>
                <wp:positionV relativeFrom="paragraph">
                  <wp:posOffset>400050</wp:posOffset>
                </wp:positionV>
                <wp:extent cx="1644650" cy="1054100"/>
                <wp:effectExtent l="19050" t="19050" r="12700" b="31750"/>
                <wp:wrapNone/>
                <wp:docPr id="3" name="Straight Connector 3"/>
                <wp:cNvGraphicFramePr/>
                <a:graphic xmlns:a="http://schemas.openxmlformats.org/drawingml/2006/main">
                  <a:graphicData uri="http://schemas.microsoft.com/office/word/2010/wordprocessingShape">
                    <wps:wsp>
                      <wps:cNvCnPr/>
                      <wps:spPr>
                        <a:xfrm flipH="1" flipV="1">
                          <a:off x="0" y="0"/>
                          <a:ext cx="1644650" cy="105410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5C71133">
              <v:line id="Straight Connector 3"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from="242.5pt,31.5pt" to="372pt,114.5pt" w14:anchorId="70829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">
                <v:stroke joinstyle="miter" dashstyle="3 1"/>
              </v:line>
            </w:pict>
          </mc:Fallback>
        </mc:AlternateContent>
      </w:r>
      <w:r>
        <w:rPr>
          <w:rFonts w:cs="Arial"/>
          <w:noProof/>
          <w:sz w:val="21"/>
          <w:szCs w:val="21"/>
          <w:lang w:eastAsia="en-AU"/>
        </w:rPr>
        <mc:AlternateContent>
          <mc:Choice Requires="wps">
            <w:drawing>
              <wp:anchor distT="0" distB="0" distL="114300" distR="114300" simplePos="0" relativeHeight="251662336" behindDoc="0" locked="0" layoutInCell="1" allowOverlap="1" wp14:anchorId="404597A2" wp14:editId="7EFD0733">
                <wp:simplePos x="0" y="0"/>
                <wp:positionH relativeFrom="column">
                  <wp:posOffset>2432050</wp:posOffset>
                </wp:positionH>
                <wp:positionV relativeFrom="paragraph">
                  <wp:posOffset>419100</wp:posOffset>
                </wp:positionV>
                <wp:extent cx="635000" cy="44450"/>
                <wp:effectExtent l="19050" t="19050" r="31750" b="31750"/>
                <wp:wrapNone/>
                <wp:docPr id="5" name="Straight Connector 5"/>
                <wp:cNvGraphicFramePr/>
                <a:graphic xmlns:a="http://schemas.openxmlformats.org/drawingml/2006/main">
                  <a:graphicData uri="http://schemas.microsoft.com/office/word/2010/wordprocessingShape">
                    <wps:wsp>
                      <wps:cNvCnPr/>
                      <wps:spPr>
                        <a:xfrm flipV="1">
                          <a:off x="0" y="0"/>
                          <a:ext cx="635000" cy="4445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9E59BA3">
              <v:line id="Straight Connector 5"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91.5pt,33pt" to="241.5pt,36.5pt" w14:anchorId="24AAD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">
                <v:stroke joinstyle="miter" dashstyle="3 1"/>
              </v:line>
            </w:pict>
          </mc:Fallback>
        </mc:AlternateContent>
      </w:r>
      <w:r>
        <w:rPr>
          <w:rFonts w:cs="Arial"/>
          <w:noProof/>
          <w:sz w:val="21"/>
          <w:szCs w:val="21"/>
          <w:lang w:eastAsia="en-AU"/>
        </w:rPr>
        <mc:AlternateContent>
          <mc:Choice Requires="wps">
            <w:drawing>
              <wp:anchor distT="0" distB="0" distL="114300" distR="114300" simplePos="0" relativeHeight="251664384" behindDoc="0" locked="0" layoutInCell="1" allowOverlap="1" wp14:anchorId="0181576B" wp14:editId="6E243B1F">
                <wp:simplePos x="0" y="0"/>
                <wp:positionH relativeFrom="column">
                  <wp:posOffset>2120900</wp:posOffset>
                </wp:positionH>
                <wp:positionV relativeFrom="paragraph">
                  <wp:posOffset>476250</wp:posOffset>
                </wp:positionV>
                <wp:extent cx="330200" cy="971550"/>
                <wp:effectExtent l="19050" t="19050" r="31750" b="19050"/>
                <wp:wrapNone/>
                <wp:docPr id="6" name="Straight Connector 6"/>
                <wp:cNvGraphicFramePr/>
                <a:graphic xmlns:a="http://schemas.openxmlformats.org/drawingml/2006/main">
                  <a:graphicData uri="http://schemas.microsoft.com/office/word/2010/wordprocessingShape">
                    <wps:wsp>
                      <wps:cNvCnPr/>
                      <wps:spPr>
                        <a:xfrm flipH="1">
                          <a:off x="0" y="0"/>
                          <a:ext cx="330200" cy="97155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B17955E">
              <v:line id="Straight Connector 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67pt,37.5pt" to="193pt,114pt" w14:anchorId="09E41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">
                <v:stroke joinstyle="miter" dashstyle="3 1"/>
              </v:line>
            </w:pict>
          </mc:Fallback>
        </mc:AlternateContent>
      </w:r>
      <w:r>
        <w:rPr>
          <w:rFonts w:cs="Arial"/>
          <w:noProof/>
          <w:sz w:val="21"/>
          <w:szCs w:val="21"/>
          <w:lang w:eastAsia="en-AU"/>
        </w:rPr>
        <mc:AlternateContent>
          <mc:Choice Requires="wps">
            <w:drawing>
              <wp:anchor distT="0" distB="0" distL="114300" distR="114300" simplePos="0" relativeHeight="251668480" behindDoc="0" locked="0" layoutInCell="1" allowOverlap="1" wp14:anchorId="28693714" wp14:editId="09612063">
                <wp:simplePos x="0" y="0"/>
                <wp:positionH relativeFrom="column">
                  <wp:posOffset>2927350</wp:posOffset>
                </wp:positionH>
                <wp:positionV relativeFrom="paragraph">
                  <wp:posOffset>1454150</wp:posOffset>
                </wp:positionV>
                <wp:extent cx="1790700" cy="1568450"/>
                <wp:effectExtent l="19050" t="19050" r="19050" b="31750"/>
                <wp:wrapNone/>
                <wp:docPr id="8" name="Straight Connector 8"/>
                <wp:cNvGraphicFramePr/>
                <a:graphic xmlns:a="http://schemas.openxmlformats.org/drawingml/2006/main">
                  <a:graphicData uri="http://schemas.microsoft.com/office/word/2010/wordprocessingShape">
                    <wps:wsp>
                      <wps:cNvCnPr/>
                      <wps:spPr>
                        <a:xfrm flipV="1">
                          <a:off x="0" y="0"/>
                          <a:ext cx="1790700" cy="156845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F2E1FB0">
              <v:line id="Straight Connector 8"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230.5pt,114.5pt" to="371.5pt,238pt" w14:anchorId="03174C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">
                <v:stroke joinstyle="miter" dashstyle="3 1"/>
              </v:line>
            </w:pict>
          </mc:Fallback>
        </mc:AlternateContent>
      </w:r>
      <w:r>
        <w:rPr>
          <w:rFonts w:cs="Arial"/>
          <w:noProof/>
          <w:sz w:val="21"/>
          <w:szCs w:val="21"/>
          <w:lang w:eastAsia="en-AU"/>
        </w:rPr>
        <mc:AlternateContent>
          <mc:Choice Requires="wps">
            <w:drawing>
              <wp:anchor distT="0" distB="0" distL="114300" distR="114300" simplePos="0" relativeHeight="251666432" behindDoc="0" locked="0" layoutInCell="1" allowOverlap="1" wp14:anchorId="14A228B8" wp14:editId="4C3E3416">
                <wp:simplePos x="0" y="0"/>
                <wp:positionH relativeFrom="column">
                  <wp:posOffset>2120900</wp:posOffset>
                </wp:positionH>
                <wp:positionV relativeFrom="paragraph">
                  <wp:posOffset>1422400</wp:posOffset>
                </wp:positionV>
                <wp:extent cx="812800" cy="1587500"/>
                <wp:effectExtent l="19050" t="19050" r="25400" b="31750"/>
                <wp:wrapNone/>
                <wp:docPr id="7" name="Straight Connector 7"/>
                <wp:cNvGraphicFramePr/>
                <a:graphic xmlns:a="http://schemas.openxmlformats.org/drawingml/2006/main">
                  <a:graphicData uri="http://schemas.microsoft.com/office/word/2010/wordprocessingShape">
                    <wps:wsp>
                      <wps:cNvCnPr/>
                      <wps:spPr>
                        <a:xfrm>
                          <a:off x="0" y="0"/>
                          <a:ext cx="812800" cy="158750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D650FDB">
              <v:line id="Straight Connector 7"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67pt,112pt" to="231pt,237pt" w14:anchorId="6374D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">
                <v:stroke joinstyle="miter" dashstyle="3 1"/>
              </v:line>
            </w:pict>
          </mc:Fallback>
        </mc:AlternateContent>
      </w:r>
      <w:r>
        <w:rPr>
          <w:rFonts w:cs="Arial"/>
          <w:noProof/>
          <w:sz w:val="21"/>
          <w:szCs w:val="21"/>
          <w:lang w:eastAsia="en-AU"/>
        </w:rPr>
        <mc:AlternateContent>
          <mc:Choice Requires="wps">
            <w:drawing>
              <wp:anchor distT="0" distB="0" distL="114300" distR="114300" simplePos="0" relativeHeight="251669504" behindDoc="0" locked="0" layoutInCell="1" allowOverlap="1" wp14:anchorId="5FDC7F32" wp14:editId="44E5CB22">
                <wp:simplePos x="0" y="0"/>
                <wp:positionH relativeFrom="column">
                  <wp:posOffset>2460625</wp:posOffset>
                </wp:positionH>
                <wp:positionV relativeFrom="paragraph">
                  <wp:posOffset>1307237</wp:posOffset>
                </wp:positionV>
                <wp:extent cx="765544" cy="765544"/>
                <wp:effectExtent l="19050" t="19050" r="15875" b="15875"/>
                <wp:wrapNone/>
                <wp:docPr id="9" name="Oval 9"/>
                <wp:cNvGraphicFramePr/>
                <a:graphic xmlns:a="http://schemas.openxmlformats.org/drawingml/2006/main">
                  <a:graphicData uri="http://schemas.microsoft.com/office/word/2010/wordprocessingShape">
                    <wps:wsp>
                      <wps:cNvSpPr/>
                      <wps:spPr>
                        <a:xfrm>
                          <a:off x="0" y="0"/>
                          <a:ext cx="765544" cy="765544"/>
                        </a:xfrm>
                        <a:prstGeom prst="ellipse">
                          <a:avLst/>
                        </a:prstGeom>
                        <a:no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CE77B5A">
              <v:oval id="Oval 9" style="position:absolute;margin-left:193.75pt;margin-top:102.95pt;width:60.3pt;height:60.3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b0f0" strokeweight="2.25pt" w14:anchorId="7F0D33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">
                <v:stroke joinstyle="miter" dashstyle="3 1"/>
              </v:oval>
            </w:pict>
          </mc:Fallback>
        </mc:AlternateContent>
      </w:r>
      <w:r w:rsidR="004F3DCE">
        <w:rPr>
          <w:rFonts w:cs="Arial"/>
          <w:noProof/>
          <w:sz w:val="21"/>
          <w:szCs w:val="21"/>
          <w:lang w:eastAsia="en-AU"/>
        </w:rPr>
        <w:drawing>
          <wp:inline distT="0" distB="0" distL="0" distR="0" wp14:anchorId="3B7C4341" wp14:editId="0EDA7DAA">
            <wp:extent cx="5246824" cy="3390181"/>
            <wp:effectExtent l="0" t="0" r="0" b="1270"/>
            <wp:docPr id="2" name="Picture 2"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aerial view of a city&#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15170" t="3575" r="5611" b="2757"/>
                    <a:stretch/>
                  </pic:blipFill>
                  <pic:spPr bwMode="auto">
                    <a:xfrm>
                      <a:off x="0" y="0"/>
                      <a:ext cx="5256365" cy="3396346"/>
                    </a:xfrm>
                    <a:prstGeom prst="rect">
                      <a:avLst/>
                    </a:prstGeom>
                    <a:ln>
                      <a:noFill/>
                    </a:ln>
                    <a:extLst>
                      <a:ext uri="{53640926-AAD7-44D8-BBD7-CCE9431645EC}">
                        <a14:shadowObscured xmlns:a14="http://schemas.microsoft.com/office/drawing/2010/main"/>
                      </a:ext>
                    </a:extLst>
                  </pic:spPr>
                </pic:pic>
              </a:graphicData>
            </a:graphic>
          </wp:inline>
        </w:drawing>
      </w:r>
    </w:p>
    <w:p w14:paraId="0FF74738" w14:textId="08CA34E2" w:rsidR="004F3DCE" w:rsidRPr="00E5434E" w:rsidRDefault="007F6D0A" w:rsidP="0053253F">
      <w:pPr>
        <w:rPr>
          <w:rFonts w:cs="Arial"/>
          <w:i/>
          <w:iCs/>
        </w:rPr>
      </w:pPr>
      <w:r w:rsidRPr="00E5434E">
        <w:rPr>
          <w:rFonts w:cs="Arial"/>
          <w:i/>
          <w:iCs/>
        </w:rPr>
        <w:t>Figure 1: Aerial view of 145 River Avenue,</w:t>
      </w:r>
      <w:r w:rsidR="008432A7" w:rsidRPr="00E5434E">
        <w:rPr>
          <w:rFonts w:cs="Arial"/>
          <w:i/>
          <w:iCs/>
        </w:rPr>
        <w:t xml:space="preserve"> the site boundaries are</w:t>
      </w:r>
      <w:r w:rsidRPr="00E5434E">
        <w:rPr>
          <w:rFonts w:cs="Arial"/>
          <w:i/>
          <w:iCs/>
        </w:rPr>
        <w:t xml:space="preserve"> indicated in red</w:t>
      </w:r>
      <w:r w:rsidR="008432A7" w:rsidRPr="00E5434E">
        <w:rPr>
          <w:rFonts w:cs="Arial"/>
          <w:i/>
          <w:iCs/>
        </w:rPr>
        <w:t xml:space="preserve"> and the relevant house indicated in blue</w:t>
      </w:r>
      <w:r w:rsidRPr="00E5434E">
        <w:rPr>
          <w:rFonts w:cs="Arial"/>
          <w:i/>
          <w:iCs/>
        </w:rPr>
        <w:t>. Source: Google Maps.</w:t>
      </w:r>
    </w:p>
    <w:p w14:paraId="009AF31C" w14:textId="77777777" w:rsidR="00D2727A" w:rsidRDefault="00D2727A" w:rsidP="0053253F">
      <w:pPr>
        <w:rPr>
          <w:rFonts w:cs="Arial"/>
          <w:sz w:val="21"/>
          <w:szCs w:val="21"/>
        </w:rPr>
      </w:pPr>
    </w:p>
    <w:p w14:paraId="43DF9B30" w14:textId="3F321D4D" w:rsidR="00D2727A" w:rsidRDefault="00D2727A" w:rsidP="0053253F">
      <w:pPr>
        <w:rPr>
          <w:rFonts w:cs="Arial"/>
          <w:sz w:val="21"/>
          <w:szCs w:val="21"/>
        </w:rPr>
      </w:pPr>
      <w:r>
        <w:rPr>
          <w:noProof/>
          <w:lang w:eastAsia="en-AU"/>
        </w:rPr>
        <w:drawing>
          <wp:inline distT="0" distB="0" distL="0" distR="0" wp14:anchorId="6297A38A" wp14:editId="0E782F3B">
            <wp:extent cx="4884519" cy="2993366"/>
            <wp:effectExtent l="0" t="0" r="0" b="0"/>
            <wp:docPr id="10" name="image149.jpeg" descr="Macintosh HD:Users:samanthawestbrooke:Documents:SW Pty Ltd:Projects:Nillumbik:Assessments:The 18 2015 Assessments:P's Photos:IMG_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49.jpeg"/>
                    <pic:cNvPicPr/>
                  </pic:nvPicPr>
                  <pic:blipFill rotWithShape="1">
                    <a:blip r:embed="rId11" cstate="print">
                      <a:extLst>
                        <a:ext uri="{28A0092B-C50C-407E-A947-70E740481C1C}">
                          <a14:useLocalDpi xmlns:a14="http://schemas.microsoft.com/office/drawing/2010/main" val="0"/>
                        </a:ext>
                      </a:extLst>
                    </a:blip>
                    <a:srcRect b="7873"/>
                    <a:stretch/>
                  </pic:blipFill>
                  <pic:spPr bwMode="auto">
                    <a:xfrm>
                      <a:off x="0" y="0"/>
                      <a:ext cx="4886856" cy="2994798"/>
                    </a:xfrm>
                    <a:prstGeom prst="rect">
                      <a:avLst/>
                    </a:prstGeom>
                    <a:ln>
                      <a:noFill/>
                    </a:ln>
                    <a:extLst>
                      <a:ext uri="{53640926-AAD7-44D8-BBD7-CCE9431645EC}">
                        <a14:shadowObscured xmlns:a14="http://schemas.microsoft.com/office/drawing/2010/main"/>
                      </a:ext>
                    </a:extLst>
                  </pic:spPr>
                </pic:pic>
              </a:graphicData>
            </a:graphic>
          </wp:inline>
        </w:drawing>
      </w:r>
    </w:p>
    <w:p w14:paraId="799934B4" w14:textId="5D39ABE5" w:rsidR="0063364C" w:rsidRPr="00D2727A" w:rsidRDefault="00D2727A" w:rsidP="00D2727A">
      <w:pPr>
        <w:rPr>
          <w:rFonts w:cs="Arial"/>
          <w:i/>
          <w:iCs/>
        </w:rPr>
      </w:pPr>
      <w:r>
        <w:rPr>
          <w:rFonts w:cs="Arial"/>
          <w:i/>
          <w:iCs/>
        </w:rPr>
        <w:t xml:space="preserve">Figure 2: </w:t>
      </w:r>
      <w:r w:rsidRPr="00E915B6">
        <w:rPr>
          <w:rFonts w:cs="Arial"/>
          <w:i/>
          <w:iCs/>
        </w:rPr>
        <w:t>View of 145 River Avenue, Plenty. Source: Peter Mills, 2016.</w:t>
      </w:r>
    </w:p>
    <w:p w14:paraId="2BDFE654" w14:textId="34AA0547" w:rsidR="00104F1F" w:rsidRDefault="00F0333B" w:rsidP="007D3802">
      <w:pPr>
        <w:rPr>
          <w:rFonts w:cs="Arial"/>
          <w:b/>
          <w:sz w:val="21"/>
          <w:szCs w:val="21"/>
        </w:rPr>
      </w:pPr>
      <w:r w:rsidRPr="00533CF2">
        <w:rPr>
          <w:rFonts w:cs="Arial"/>
          <w:b/>
          <w:sz w:val="21"/>
          <w:szCs w:val="21"/>
        </w:rPr>
        <w:lastRenderedPageBreak/>
        <w:t>Comparative Analysis</w:t>
      </w:r>
    </w:p>
    <w:p w14:paraId="1A33BD4A" w14:textId="137B04CC" w:rsidR="0063627A" w:rsidRPr="004D16A3" w:rsidRDefault="0063627A" w:rsidP="0053253F">
      <w:pPr>
        <w:rPr>
          <w:rFonts w:cs="Arial"/>
          <w:sz w:val="21"/>
          <w:szCs w:val="21"/>
        </w:rPr>
      </w:pPr>
    </w:p>
    <w:p w14:paraId="667AF7D4" w14:textId="665DA5C4" w:rsidR="003C0FF4" w:rsidRDefault="00CC03E6" w:rsidP="0053253F">
      <w:pPr>
        <w:rPr>
          <w:sz w:val="21"/>
          <w:szCs w:val="21"/>
        </w:rPr>
      </w:pPr>
      <w:r w:rsidRPr="004D16A3">
        <w:rPr>
          <w:rFonts w:cs="Arial"/>
          <w:sz w:val="21"/>
          <w:szCs w:val="21"/>
        </w:rPr>
        <w:t>145 River Avenue, Plenty</w:t>
      </w:r>
      <w:r w:rsidR="002A440A" w:rsidRPr="004D16A3">
        <w:rPr>
          <w:rFonts w:cs="Arial"/>
          <w:sz w:val="21"/>
          <w:szCs w:val="21"/>
        </w:rPr>
        <w:t xml:space="preserve"> compares with other inter-war farming properties</w:t>
      </w:r>
      <w:r w:rsidR="004F2199" w:rsidRPr="004D16A3">
        <w:rPr>
          <w:rFonts w:cs="Arial"/>
          <w:sz w:val="21"/>
          <w:szCs w:val="21"/>
        </w:rPr>
        <w:t xml:space="preserve"> in Nillumbik already included on the Heritage Overlay. </w:t>
      </w:r>
      <w:r w:rsidR="004D16A3">
        <w:rPr>
          <w:rFonts w:cs="Arial"/>
          <w:sz w:val="21"/>
          <w:szCs w:val="21"/>
        </w:rPr>
        <w:t xml:space="preserve">The </w:t>
      </w:r>
      <w:r w:rsidR="004D16A3" w:rsidRPr="00376548">
        <w:rPr>
          <w:sz w:val="21"/>
          <w:szCs w:val="21"/>
        </w:rPr>
        <w:t xml:space="preserve">inter-war period of development was identified in the </w:t>
      </w:r>
      <w:r w:rsidR="004D16A3" w:rsidRPr="00376548">
        <w:rPr>
          <w:i/>
          <w:iCs/>
          <w:sz w:val="21"/>
          <w:szCs w:val="21"/>
        </w:rPr>
        <w:t>Shire of Nillumbik Heritage Gap Study Framework</w:t>
      </w:r>
      <w:r w:rsidR="004D16A3">
        <w:rPr>
          <w:i/>
          <w:iCs/>
          <w:sz w:val="21"/>
          <w:szCs w:val="21"/>
        </w:rPr>
        <w:t>,</w:t>
      </w:r>
      <w:r w:rsidR="004D16A3" w:rsidRPr="00376548">
        <w:rPr>
          <w:sz w:val="21"/>
          <w:szCs w:val="21"/>
        </w:rPr>
        <w:t xml:space="preserve"> June 2009 as being an under-represented development period in the Heritage Overlay</w:t>
      </w:r>
      <w:r w:rsidR="004D16A3">
        <w:rPr>
          <w:sz w:val="21"/>
          <w:szCs w:val="21"/>
        </w:rPr>
        <w:t xml:space="preserve">. </w:t>
      </w:r>
      <w:r w:rsidR="0068682F">
        <w:rPr>
          <w:sz w:val="21"/>
          <w:szCs w:val="21"/>
        </w:rPr>
        <w:t>Interwar development was slow, likely related to the distance from central Melbourne</w:t>
      </w:r>
      <w:r w:rsidR="0020344C">
        <w:rPr>
          <w:sz w:val="21"/>
          <w:szCs w:val="21"/>
        </w:rPr>
        <w:t xml:space="preserve"> and the continuing agricultural setting </w:t>
      </w:r>
      <w:r w:rsidR="007758F8">
        <w:rPr>
          <w:sz w:val="21"/>
          <w:szCs w:val="21"/>
        </w:rPr>
        <w:t xml:space="preserve">– </w:t>
      </w:r>
      <w:r w:rsidR="00D6159E">
        <w:rPr>
          <w:sz w:val="21"/>
          <w:szCs w:val="21"/>
        </w:rPr>
        <w:t>hampered</w:t>
      </w:r>
      <w:r w:rsidR="007758F8">
        <w:rPr>
          <w:sz w:val="21"/>
          <w:szCs w:val="21"/>
        </w:rPr>
        <w:t xml:space="preserve"> by failures of the Closer Settlement scheme. Nevertheless, prosper</w:t>
      </w:r>
      <w:r w:rsidR="00D6159E">
        <w:rPr>
          <w:sz w:val="21"/>
          <w:szCs w:val="21"/>
        </w:rPr>
        <w:t xml:space="preserve">ous farming families were able to construct residences conforming to contemporary stylistic </w:t>
      </w:r>
      <w:r w:rsidR="00F86C49">
        <w:rPr>
          <w:sz w:val="21"/>
          <w:szCs w:val="21"/>
        </w:rPr>
        <w:t xml:space="preserve">trends seen in suburban Melbourne. </w:t>
      </w:r>
    </w:p>
    <w:p w14:paraId="51E0F9FE" w14:textId="77777777" w:rsidR="00633BD6" w:rsidRDefault="00633BD6" w:rsidP="0053253F">
      <w:pPr>
        <w:rPr>
          <w:sz w:val="21"/>
          <w:szCs w:val="21"/>
        </w:rPr>
      </w:pPr>
    </w:p>
    <w:p w14:paraId="6EA02EF0" w14:textId="1EDF032F" w:rsidR="00633BD6" w:rsidRPr="004D16A3" w:rsidRDefault="00633BD6" w:rsidP="0053253F">
      <w:pPr>
        <w:rPr>
          <w:rFonts w:cs="Arial"/>
          <w:sz w:val="21"/>
          <w:szCs w:val="21"/>
        </w:rPr>
      </w:pPr>
      <w:r>
        <w:rPr>
          <w:sz w:val="21"/>
          <w:szCs w:val="21"/>
        </w:rPr>
        <w:t>Many farming properties of this period were involved in mixed</w:t>
      </w:r>
      <w:r w:rsidR="00475B52">
        <w:rPr>
          <w:sz w:val="21"/>
          <w:szCs w:val="21"/>
        </w:rPr>
        <w:t xml:space="preserve"> </w:t>
      </w:r>
      <w:r>
        <w:rPr>
          <w:sz w:val="21"/>
          <w:szCs w:val="21"/>
        </w:rPr>
        <w:t xml:space="preserve">farming, often combining orcharding with raising poultry for meat and eggs. </w:t>
      </w:r>
      <w:r w:rsidR="00CA35AC">
        <w:rPr>
          <w:sz w:val="21"/>
          <w:szCs w:val="21"/>
        </w:rPr>
        <w:t xml:space="preserve">It is not clear if </w:t>
      </w:r>
      <w:r w:rsidR="00AA6B2C">
        <w:rPr>
          <w:sz w:val="21"/>
          <w:szCs w:val="21"/>
        </w:rPr>
        <w:t xml:space="preserve">this practice occurred at </w:t>
      </w:r>
      <w:r w:rsidR="00CA35AC">
        <w:rPr>
          <w:sz w:val="21"/>
          <w:szCs w:val="21"/>
        </w:rPr>
        <w:t xml:space="preserve">145 River Avenue, although </w:t>
      </w:r>
      <w:r w:rsidR="001D510A">
        <w:rPr>
          <w:sz w:val="21"/>
          <w:szCs w:val="21"/>
        </w:rPr>
        <w:t xml:space="preserve">the </w:t>
      </w:r>
      <w:r w:rsidR="00BC06C3">
        <w:rPr>
          <w:sz w:val="21"/>
          <w:szCs w:val="21"/>
        </w:rPr>
        <w:t>Cunningham’s</w:t>
      </w:r>
      <w:r w:rsidR="001D510A">
        <w:rPr>
          <w:sz w:val="21"/>
          <w:szCs w:val="21"/>
        </w:rPr>
        <w:t xml:space="preserve"> were</w:t>
      </w:r>
      <w:r w:rsidR="00AA6B2C">
        <w:rPr>
          <w:sz w:val="21"/>
          <w:szCs w:val="21"/>
        </w:rPr>
        <w:t>, at least,</w:t>
      </w:r>
      <w:r w:rsidR="001D510A">
        <w:rPr>
          <w:sz w:val="21"/>
          <w:szCs w:val="21"/>
        </w:rPr>
        <w:t xml:space="preserve"> involved in poultry raising. </w:t>
      </w:r>
      <w:r w:rsidR="00184A7C">
        <w:rPr>
          <w:sz w:val="21"/>
          <w:szCs w:val="21"/>
        </w:rPr>
        <w:t xml:space="preserve">The 1930 topographic map does not show orchards at this property, although they were in the vicinity. </w:t>
      </w:r>
    </w:p>
    <w:p w14:paraId="4107C1FA" w14:textId="77777777" w:rsidR="00453C82" w:rsidRPr="004D16A3" w:rsidRDefault="00453C82" w:rsidP="0053253F">
      <w:pPr>
        <w:rPr>
          <w:rFonts w:cs="Arial"/>
          <w:sz w:val="21"/>
          <w:szCs w:val="21"/>
        </w:rPr>
      </w:pPr>
    </w:p>
    <w:p w14:paraId="6665E39A" w14:textId="644891B3" w:rsidR="00475B52" w:rsidRDefault="00633BD6" w:rsidP="00633BD6">
      <w:pPr>
        <w:rPr>
          <w:rFonts w:cs="Arial"/>
          <w:sz w:val="21"/>
          <w:szCs w:val="21"/>
        </w:rPr>
      </w:pPr>
      <w:r w:rsidRPr="00B64DDA">
        <w:rPr>
          <w:rFonts w:cs="Arial"/>
          <w:sz w:val="21"/>
          <w:szCs w:val="21"/>
        </w:rPr>
        <w:t>14-26 Browns Lane, Plenty</w:t>
      </w:r>
      <w:r w:rsidR="006A4B2A">
        <w:rPr>
          <w:rFonts w:cs="Arial"/>
          <w:sz w:val="21"/>
          <w:szCs w:val="21"/>
        </w:rPr>
        <w:t xml:space="preserve"> (c1924)</w:t>
      </w:r>
      <w:r w:rsidRPr="00B64DDA">
        <w:rPr>
          <w:rFonts w:cs="Arial"/>
          <w:sz w:val="21"/>
          <w:szCs w:val="21"/>
        </w:rPr>
        <w:t xml:space="preserve"> is covered by interim Overlay HO270. It is a representative example of an interwar bungalow, originally part of a mixed farming property including orcharding and poultry.</w:t>
      </w:r>
      <w:r w:rsidR="000B2818">
        <w:rPr>
          <w:rFonts w:cs="Arial"/>
          <w:sz w:val="21"/>
          <w:szCs w:val="21"/>
        </w:rPr>
        <w:t xml:space="preserve"> Both properties are representative of </w:t>
      </w:r>
      <w:r w:rsidR="00AF2168">
        <w:rPr>
          <w:rFonts w:cs="Arial"/>
          <w:sz w:val="21"/>
          <w:szCs w:val="21"/>
        </w:rPr>
        <w:t>agricultural development in the interwar period.</w:t>
      </w:r>
      <w:r w:rsidRPr="00B64DDA">
        <w:rPr>
          <w:rFonts w:cs="Arial"/>
          <w:sz w:val="21"/>
          <w:szCs w:val="21"/>
        </w:rPr>
        <w:t xml:space="preserve"> </w:t>
      </w:r>
      <w:r w:rsidR="00475B52">
        <w:rPr>
          <w:rFonts w:cs="Arial"/>
          <w:sz w:val="21"/>
          <w:szCs w:val="21"/>
        </w:rPr>
        <w:t>The house at 145 River Avenue stands out as an example of</w:t>
      </w:r>
      <w:r w:rsidR="00FE32A5">
        <w:rPr>
          <w:rFonts w:cs="Arial"/>
          <w:sz w:val="21"/>
          <w:szCs w:val="21"/>
        </w:rPr>
        <w:t xml:space="preserve"> a brick bungalow dwelling</w:t>
      </w:r>
      <w:r w:rsidR="007A7ECE">
        <w:rPr>
          <w:rFonts w:cs="Arial"/>
          <w:sz w:val="21"/>
          <w:szCs w:val="21"/>
        </w:rPr>
        <w:t>, rather than the more dominant weatherboard</w:t>
      </w:r>
      <w:r w:rsidR="00575C32">
        <w:rPr>
          <w:rFonts w:cs="Arial"/>
          <w:sz w:val="21"/>
          <w:szCs w:val="21"/>
        </w:rPr>
        <w:t xml:space="preserve"> </w:t>
      </w:r>
      <w:r w:rsidR="00AF2168">
        <w:rPr>
          <w:rFonts w:cs="Arial"/>
          <w:sz w:val="21"/>
          <w:szCs w:val="21"/>
        </w:rPr>
        <w:t>found during this</w:t>
      </w:r>
      <w:r w:rsidR="00575C32">
        <w:rPr>
          <w:rFonts w:cs="Arial"/>
          <w:sz w:val="21"/>
          <w:szCs w:val="21"/>
        </w:rPr>
        <w:t xml:space="preserve"> period. </w:t>
      </w:r>
      <w:r w:rsidR="00AD3947">
        <w:rPr>
          <w:rFonts w:cs="Arial"/>
          <w:sz w:val="21"/>
          <w:szCs w:val="21"/>
        </w:rPr>
        <w:t xml:space="preserve">Stylistically, </w:t>
      </w:r>
      <w:r w:rsidR="00873B0B">
        <w:rPr>
          <w:rFonts w:cs="Arial"/>
          <w:sz w:val="21"/>
          <w:szCs w:val="21"/>
        </w:rPr>
        <w:t>14-26 Browns Lane</w:t>
      </w:r>
      <w:r w:rsidR="0018446B">
        <w:rPr>
          <w:rFonts w:cs="Arial"/>
          <w:sz w:val="21"/>
          <w:szCs w:val="21"/>
        </w:rPr>
        <w:t xml:space="preserve"> </w:t>
      </w:r>
      <w:r w:rsidR="00873B0B">
        <w:rPr>
          <w:rFonts w:cs="Arial"/>
          <w:sz w:val="21"/>
          <w:szCs w:val="21"/>
        </w:rPr>
        <w:t>include earlier features and details, reminiscent of Edwardian</w:t>
      </w:r>
      <w:r w:rsidR="006E7343">
        <w:rPr>
          <w:rFonts w:cs="Arial"/>
          <w:sz w:val="21"/>
          <w:szCs w:val="21"/>
        </w:rPr>
        <w:t>-era design. Whereas 145 River Avenue demonstrates the newer ideas and development of the brick bungalow</w:t>
      </w:r>
      <w:r w:rsidR="00170B32">
        <w:rPr>
          <w:rFonts w:cs="Arial"/>
          <w:sz w:val="21"/>
          <w:szCs w:val="21"/>
        </w:rPr>
        <w:t xml:space="preserve">. </w:t>
      </w:r>
    </w:p>
    <w:p w14:paraId="001639FB" w14:textId="77777777" w:rsidR="00FE32A5" w:rsidRDefault="00FE32A5" w:rsidP="00633BD6">
      <w:pPr>
        <w:rPr>
          <w:rFonts w:cs="Arial"/>
          <w:sz w:val="21"/>
          <w:szCs w:val="21"/>
        </w:rPr>
      </w:pPr>
    </w:p>
    <w:p w14:paraId="248A6E19" w14:textId="2C335976" w:rsidR="004E35D7" w:rsidRDefault="004E35D7" w:rsidP="00633BD6">
      <w:pPr>
        <w:rPr>
          <w:rFonts w:cs="Arial"/>
          <w:sz w:val="21"/>
          <w:szCs w:val="21"/>
        </w:rPr>
      </w:pPr>
      <w:r>
        <w:rPr>
          <w:rFonts w:cs="Arial"/>
          <w:noProof/>
          <w:sz w:val="21"/>
          <w:szCs w:val="21"/>
          <w:lang w:eastAsia="en-AU"/>
        </w:rPr>
        <w:drawing>
          <wp:inline distT="0" distB="0" distL="0" distR="0" wp14:anchorId="6BBC98C7" wp14:editId="7E3E42EA">
            <wp:extent cx="2237522" cy="1690777"/>
            <wp:effectExtent l="0" t="0" r="0" b="5080"/>
            <wp:docPr id="13" name="Picture 13" descr="A picture containing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building, hous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53310" cy="1702707"/>
                    </a:xfrm>
                    <a:prstGeom prst="rect">
                      <a:avLst/>
                    </a:prstGeom>
                  </pic:spPr>
                </pic:pic>
              </a:graphicData>
            </a:graphic>
          </wp:inline>
        </w:drawing>
      </w:r>
      <w:r>
        <w:rPr>
          <w:rFonts w:cs="Arial"/>
          <w:sz w:val="21"/>
          <w:szCs w:val="21"/>
        </w:rPr>
        <w:t xml:space="preserve"> </w:t>
      </w:r>
      <w:r w:rsidR="00B23219">
        <w:rPr>
          <w:rFonts w:cs="Arial"/>
          <w:noProof/>
          <w:sz w:val="21"/>
          <w:szCs w:val="21"/>
          <w:lang w:eastAsia="en-AU"/>
        </w:rPr>
        <w:drawing>
          <wp:inline distT="0" distB="0" distL="0" distR="0" wp14:anchorId="48FBD9CF" wp14:editId="1AB6578D">
            <wp:extent cx="2252822" cy="1690778"/>
            <wp:effectExtent l="0" t="0" r="0" b="5080"/>
            <wp:docPr id="11" name="Picture 11" descr="A house with a blue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ouse with a blue roof&#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276649" cy="1708660"/>
                    </a:xfrm>
                    <a:prstGeom prst="rect">
                      <a:avLst/>
                    </a:prstGeom>
                  </pic:spPr>
                </pic:pic>
              </a:graphicData>
            </a:graphic>
          </wp:inline>
        </w:drawing>
      </w:r>
    </w:p>
    <w:p w14:paraId="26509836" w14:textId="23CA0D72" w:rsidR="00B23219" w:rsidRPr="008D4F9E" w:rsidRDefault="00B23219" w:rsidP="00633BD6">
      <w:pPr>
        <w:rPr>
          <w:rFonts w:cs="Arial"/>
          <w:i/>
          <w:iCs/>
        </w:rPr>
      </w:pPr>
      <w:r w:rsidRPr="008D4F9E">
        <w:rPr>
          <w:rFonts w:cs="Arial"/>
          <w:i/>
          <w:iCs/>
        </w:rPr>
        <w:t>Figure 3: Façade of house at 14-26 Browns Lane, Plenty. Note the weatherboard construction</w:t>
      </w:r>
      <w:r w:rsidR="00CC65EF" w:rsidRPr="008D4F9E">
        <w:rPr>
          <w:rFonts w:cs="Arial"/>
          <w:i/>
          <w:iCs/>
        </w:rPr>
        <w:t>. Source: Citation for 14-26 Browns Lane, plenty prepared by Context 2021</w:t>
      </w:r>
      <w:r w:rsidR="00C71260" w:rsidRPr="008D4F9E">
        <w:rPr>
          <w:rFonts w:cs="Arial"/>
          <w:i/>
          <w:iCs/>
        </w:rPr>
        <w:t>.</w:t>
      </w:r>
    </w:p>
    <w:p w14:paraId="7A7B3B7F" w14:textId="77777777" w:rsidR="00FE32A5" w:rsidRDefault="00FE32A5" w:rsidP="00633BD6">
      <w:pPr>
        <w:rPr>
          <w:rFonts w:cs="Arial"/>
          <w:sz w:val="21"/>
          <w:szCs w:val="21"/>
        </w:rPr>
      </w:pPr>
    </w:p>
    <w:p w14:paraId="78857FEF" w14:textId="77777777" w:rsidR="003C0FF4" w:rsidRDefault="003C0FF4" w:rsidP="0053253F">
      <w:pPr>
        <w:rPr>
          <w:rFonts w:cs="Arial"/>
          <w:sz w:val="21"/>
          <w:szCs w:val="21"/>
        </w:rPr>
      </w:pPr>
    </w:p>
    <w:p w14:paraId="1A159BE4" w14:textId="5DE9D28D" w:rsidR="00F15B00" w:rsidRPr="004D16A3" w:rsidRDefault="00C75447" w:rsidP="0053253F">
      <w:pPr>
        <w:rPr>
          <w:rFonts w:cs="Arial"/>
          <w:sz w:val="21"/>
          <w:szCs w:val="21"/>
        </w:rPr>
      </w:pPr>
      <w:r>
        <w:rPr>
          <w:rFonts w:cs="Arial"/>
          <w:sz w:val="21"/>
          <w:szCs w:val="21"/>
        </w:rPr>
        <w:t xml:space="preserve">860 Cottles </w:t>
      </w:r>
      <w:r w:rsidR="0004013E">
        <w:rPr>
          <w:rFonts w:cs="Arial"/>
          <w:sz w:val="21"/>
          <w:szCs w:val="21"/>
        </w:rPr>
        <w:t>Bridge-Strathewan Road, Arthurs Creek (HO</w:t>
      </w:r>
      <w:r w:rsidR="004A6FE1">
        <w:rPr>
          <w:rFonts w:cs="Arial"/>
          <w:sz w:val="21"/>
          <w:szCs w:val="21"/>
        </w:rPr>
        <w:t xml:space="preserve">28) </w:t>
      </w:r>
      <w:r w:rsidR="00E45DD2">
        <w:rPr>
          <w:rFonts w:cs="Arial"/>
          <w:sz w:val="21"/>
          <w:szCs w:val="21"/>
        </w:rPr>
        <w:t xml:space="preserve">is an orcharding property that </w:t>
      </w:r>
      <w:r w:rsidR="007A7A1F">
        <w:rPr>
          <w:rFonts w:cs="Arial"/>
          <w:sz w:val="21"/>
          <w:szCs w:val="21"/>
        </w:rPr>
        <w:t xml:space="preserve">incorporates </w:t>
      </w:r>
      <w:r w:rsidR="007B7CCE">
        <w:rPr>
          <w:rFonts w:cs="Arial"/>
          <w:sz w:val="21"/>
          <w:szCs w:val="21"/>
        </w:rPr>
        <w:t>a c1913 weatherboard house as well as a 1920s/1930s house</w:t>
      </w:r>
      <w:r w:rsidR="0089580F">
        <w:rPr>
          <w:rFonts w:cs="Arial"/>
          <w:sz w:val="21"/>
          <w:szCs w:val="21"/>
        </w:rPr>
        <w:t>. The later house</w:t>
      </w:r>
      <w:r w:rsidR="00FE1D3E">
        <w:rPr>
          <w:rFonts w:cs="Arial"/>
          <w:sz w:val="21"/>
          <w:szCs w:val="21"/>
        </w:rPr>
        <w:t xml:space="preserve"> demonstrates the transition to the bungalow style</w:t>
      </w:r>
      <w:r w:rsidR="0018523F">
        <w:rPr>
          <w:rFonts w:cs="Arial"/>
          <w:sz w:val="21"/>
          <w:szCs w:val="21"/>
        </w:rPr>
        <w:t xml:space="preserve"> incorporating nested front gables, shi</w:t>
      </w:r>
      <w:r w:rsidR="005B1FCA">
        <w:rPr>
          <w:rFonts w:cs="Arial"/>
          <w:sz w:val="21"/>
          <w:szCs w:val="21"/>
        </w:rPr>
        <w:t>ngles to the gable ends, low roof pitch and timber detailing</w:t>
      </w:r>
      <w:r w:rsidR="00D2727A">
        <w:rPr>
          <w:rFonts w:cs="Arial"/>
          <w:sz w:val="21"/>
          <w:szCs w:val="21"/>
        </w:rPr>
        <w:t xml:space="preserve">. </w:t>
      </w:r>
      <w:r w:rsidR="00F511F5">
        <w:rPr>
          <w:rFonts w:cs="Arial"/>
          <w:sz w:val="21"/>
          <w:szCs w:val="21"/>
        </w:rPr>
        <w:t>The house at 145 River Avenue is similarly demonstrative of the transition to newer bungalow style</w:t>
      </w:r>
      <w:r w:rsidR="00C0609B">
        <w:rPr>
          <w:rFonts w:cs="Arial"/>
          <w:sz w:val="21"/>
          <w:szCs w:val="21"/>
        </w:rPr>
        <w:t xml:space="preserve">, but </w:t>
      </w:r>
      <w:r w:rsidR="00A70178">
        <w:rPr>
          <w:rFonts w:cs="Arial"/>
          <w:sz w:val="21"/>
          <w:szCs w:val="21"/>
        </w:rPr>
        <w:t xml:space="preserve">stands out due to its unusual brick construction. </w:t>
      </w:r>
    </w:p>
    <w:p w14:paraId="38438F69" w14:textId="77777777" w:rsidR="00453C82" w:rsidRDefault="00453C82" w:rsidP="0053253F">
      <w:pPr>
        <w:rPr>
          <w:rFonts w:cs="Arial"/>
          <w:sz w:val="21"/>
          <w:szCs w:val="21"/>
        </w:rPr>
      </w:pPr>
    </w:p>
    <w:p w14:paraId="02EE767D" w14:textId="2567D028" w:rsidR="009D1401" w:rsidRDefault="009D1401" w:rsidP="0053253F">
      <w:pPr>
        <w:rPr>
          <w:rFonts w:cs="Arial"/>
          <w:sz w:val="21"/>
          <w:szCs w:val="21"/>
        </w:rPr>
      </w:pPr>
      <w:r>
        <w:rPr>
          <w:rFonts w:cs="Arial"/>
          <w:noProof/>
          <w:sz w:val="21"/>
          <w:szCs w:val="21"/>
          <w:lang w:eastAsia="en-AU"/>
        </w:rPr>
        <w:lastRenderedPageBreak/>
        <w:drawing>
          <wp:inline distT="0" distB="0" distL="0" distR="0" wp14:anchorId="1AA94E26" wp14:editId="0292C234">
            <wp:extent cx="3226279" cy="2002518"/>
            <wp:effectExtent l="0" t="0" r="0" b="0"/>
            <wp:docPr id="12" name="Picture 12"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grass, tree, sk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31743" cy="2005910"/>
                    </a:xfrm>
                    <a:prstGeom prst="rect">
                      <a:avLst/>
                    </a:prstGeom>
                  </pic:spPr>
                </pic:pic>
              </a:graphicData>
            </a:graphic>
          </wp:inline>
        </w:drawing>
      </w:r>
    </w:p>
    <w:p w14:paraId="5F8E1226" w14:textId="213A32CE" w:rsidR="009D1401" w:rsidRPr="00E5434E" w:rsidRDefault="009D1401" w:rsidP="0053253F">
      <w:pPr>
        <w:rPr>
          <w:rFonts w:cs="Arial"/>
          <w:i/>
          <w:iCs/>
        </w:rPr>
      </w:pPr>
      <w:r w:rsidRPr="00E5434E">
        <w:rPr>
          <w:rFonts w:cs="Arial"/>
          <w:i/>
          <w:iCs/>
        </w:rPr>
        <w:t xml:space="preserve">Figure 4: View of the 1920s/1930s weatherboard bungalow at 80 Cottles Bridge-Strathewan Road. Source: </w:t>
      </w:r>
      <w:r w:rsidR="004B60E0" w:rsidRPr="00E5434E">
        <w:rPr>
          <w:rFonts w:cs="Arial"/>
          <w:i/>
          <w:iCs/>
        </w:rPr>
        <w:t>Shire of Eltham Heritage Study, 1992.</w:t>
      </w:r>
    </w:p>
    <w:p w14:paraId="4D633A49" w14:textId="77777777" w:rsidR="00453C82" w:rsidRDefault="00453C82" w:rsidP="0053253F">
      <w:pPr>
        <w:rPr>
          <w:rFonts w:cs="Arial"/>
          <w:sz w:val="21"/>
          <w:szCs w:val="21"/>
        </w:rPr>
      </w:pPr>
    </w:p>
    <w:p w14:paraId="2B0495E9" w14:textId="77777777" w:rsidR="00C44AE3" w:rsidRDefault="00C44AE3" w:rsidP="0053253F">
      <w:pPr>
        <w:rPr>
          <w:rFonts w:cs="Arial"/>
          <w:sz w:val="21"/>
          <w:szCs w:val="21"/>
        </w:rPr>
      </w:pPr>
    </w:p>
    <w:p w14:paraId="79B74C00" w14:textId="7F0544FF" w:rsidR="00C44AE3" w:rsidRDefault="005546C8" w:rsidP="0053253F">
      <w:pPr>
        <w:rPr>
          <w:rFonts w:cs="Arial"/>
          <w:sz w:val="21"/>
          <w:szCs w:val="21"/>
        </w:rPr>
      </w:pPr>
      <w:r>
        <w:rPr>
          <w:rFonts w:cs="Arial"/>
          <w:sz w:val="21"/>
          <w:szCs w:val="21"/>
        </w:rPr>
        <w:t xml:space="preserve">Orchard House at </w:t>
      </w:r>
      <w:r w:rsidR="00C44AE3">
        <w:rPr>
          <w:rFonts w:cs="Arial"/>
          <w:sz w:val="21"/>
          <w:szCs w:val="21"/>
        </w:rPr>
        <w:t>25 Cottles Bridge-Strat</w:t>
      </w:r>
      <w:r>
        <w:rPr>
          <w:rFonts w:cs="Arial"/>
          <w:sz w:val="21"/>
          <w:szCs w:val="21"/>
        </w:rPr>
        <w:t>h</w:t>
      </w:r>
      <w:r w:rsidR="00C44AE3">
        <w:rPr>
          <w:rFonts w:cs="Arial"/>
          <w:sz w:val="21"/>
          <w:szCs w:val="21"/>
        </w:rPr>
        <w:t>ewan</w:t>
      </w:r>
      <w:r>
        <w:rPr>
          <w:rFonts w:cs="Arial"/>
          <w:sz w:val="21"/>
          <w:szCs w:val="21"/>
        </w:rPr>
        <w:t xml:space="preserve"> Road, Cottles Bridge (HO190) dates </w:t>
      </w:r>
      <w:r w:rsidR="00516854">
        <w:rPr>
          <w:rFonts w:cs="Arial"/>
          <w:sz w:val="21"/>
          <w:szCs w:val="21"/>
        </w:rPr>
        <w:t xml:space="preserve">from the 1920s is and significant as one of the few pre-WW2 brick houses in the Shire. </w:t>
      </w:r>
      <w:r w:rsidR="002C563B">
        <w:rPr>
          <w:rFonts w:cs="Arial"/>
          <w:sz w:val="21"/>
          <w:szCs w:val="21"/>
        </w:rPr>
        <w:t>It is a good examples of an inter-war orchard house</w:t>
      </w:r>
      <w:r w:rsidR="004244F0">
        <w:rPr>
          <w:rFonts w:cs="Arial"/>
          <w:sz w:val="21"/>
          <w:szCs w:val="21"/>
        </w:rPr>
        <w:t xml:space="preserve">. Orchard House </w:t>
      </w:r>
      <w:r w:rsidR="003F61A1">
        <w:rPr>
          <w:rFonts w:cs="Arial"/>
          <w:sz w:val="21"/>
          <w:szCs w:val="21"/>
        </w:rPr>
        <w:t xml:space="preserve">is a good example of its type, </w:t>
      </w:r>
      <w:r w:rsidR="00682F49">
        <w:rPr>
          <w:rFonts w:cs="Arial"/>
          <w:sz w:val="21"/>
          <w:szCs w:val="21"/>
        </w:rPr>
        <w:t xml:space="preserve">possibly a reflection of its being located on fertile farming land. </w:t>
      </w:r>
      <w:r w:rsidR="00F97136">
        <w:rPr>
          <w:rFonts w:cs="Arial"/>
          <w:sz w:val="21"/>
          <w:szCs w:val="21"/>
        </w:rPr>
        <w:t>145 River Avenue compares favourably</w:t>
      </w:r>
      <w:r w:rsidR="00AC11D0">
        <w:rPr>
          <w:rFonts w:cs="Arial"/>
          <w:sz w:val="21"/>
          <w:szCs w:val="21"/>
        </w:rPr>
        <w:t xml:space="preserve"> against Orchard House as both are rare examples of pre-WWII brick dwellings, and both demonstrate the transition from Edwardian to</w:t>
      </w:r>
      <w:r w:rsidR="00397BAE">
        <w:rPr>
          <w:rFonts w:cs="Arial"/>
          <w:sz w:val="21"/>
          <w:szCs w:val="21"/>
        </w:rPr>
        <w:t xml:space="preserve"> bungalow design. </w:t>
      </w:r>
    </w:p>
    <w:p w14:paraId="108A5A20" w14:textId="77777777" w:rsidR="00C44AE3" w:rsidRDefault="00C44AE3" w:rsidP="0053253F">
      <w:pPr>
        <w:rPr>
          <w:rFonts w:cs="Arial"/>
          <w:sz w:val="21"/>
          <w:szCs w:val="21"/>
        </w:rPr>
      </w:pPr>
    </w:p>
    <w:p w14:paraId="4DF20C28" w14:textId="78391EE1" w:rsidR="00C44AE3" w:rsidRDefault="002C563B" w:rsidP="0053253F">
      <w:pPr>
        <w:rPr>
          <w:rFonts w:cs="Arial"/>
          <w:sz w:val="21"/>
          <w:szCs w:val="21"/>
        </w:rPr>
      </w:pPr>
      <w:r>
        <w:rPr>
          <w:rFonts w:cs="Arial"/>
          <w:noProof/>
          <w:sz w:val="21"/>
          <w:szCs w:val="21"/>
          <w:lang w:eastAsia="en-AU"/>
        </w:rPr>
        <w:drawing>
          <wp:inline distT="0" distB="0" distL="0" distR="0" wp14:anchorId="11C1157D" wp14:editId="29142165">
            <wp:extent cx="3278038" cy="2147983"/>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1585" cy="2150307"/>
                    </a:xfrm>
                    <a:prstGeom prst="rect">
                      <a:avLst/>
                    </a:prstGeom>
                    <a:noFill/>
                    <a:ln>
                      <a:noFill/>
                    </a:ln>
                  </pic:spPr>
                </pic:pic>
              </a:graphicData>
            </a:graphic>
          </wp:inline>
        </w:drawing>
      </w:r>
    </w:p>
    <w:p w14:paraId="3B6FCA34" w14:textId="177429BC" w:rsidR="002C563B" w:rsidRPr="00E5434E" w:rsidRDefault="002C563B" w:rsidP="0053253F">
      <w:pPr>
        <w:rPr>
          <w:rFonts w:cs="Arial"/>
          <w:i/>
          <w:iCs/>
        </w:rPr>
      </w:pPr>
      <w:r w:rsidRPr="00E5434E">
        <w:rPr>
          <w:rFonts w:cs="Arial"/>
          <w:i/>
          <w:iCs/>
        </w:rPr>
        <w:t xml:space="preserve">Figure 5: Orchard House at 25 Cottles Bridge-Strathewan Road. Source: Shire of Eltham Heritage Study, 1992. </w:t>
      </w:r>
    </w:p>
    <w:p w14:paraId="0A40D461" w14:textId="77777777" w:rsidR="00C44AE3" w:rsidRDefault="00C44AE3" w:rsidP="0053253F">
      <w:pPr>
        <w:rPr>
          <w:rFonts w:cs="Arial"/>
        </w:rPr>
      </w:pPr>
    </w:p>
    <w:p w14:paraId="495CC671" w14:textId="77777777" w:rsidR="003242D8" w:rsidRDefault="003242D8" w:rsidP="0053253F">
      <w:pPr>
        <w:rPr>
          <w:rFonts w:cs="Arial"/>
        </w:rPr>
      </w:pPr>
    </w:p>
    <w:p w14:paraId="1BC7595F" w14:textId="064E557F" w:rsidR="00CC739E" w:rsidRPr="00771A65" w:rsidRDefault="002C156F" w:rsidP="0053253F">
      <w:pPr>
        <w:rPr>
          <w:rFonts w:cs="Arial"/>
          <w:sz w:val="21"/>
          <w:szCs w:val="21"/>
        </w:rPr>
      </w:pPr>
      <w:r w:rsidRPr="00771A65">
        <w:rPr>
          <w:rFonts w:cs="Arial"/>
          <w:sz w:val="21"/>
          <w:szCs w:val="21"/>
        </w:rPr>
        <w:t xml:space="preserve">Worlingworth, at 10-26 Banoon Road, Eltham (HO7) dates from c1922 and is historically </w:t>
      </w:r>
      <w:r w:rsidR="00E27CFE" w:rsidRPr="00771A65">
        <w:rPr>
          <w:rFonts w:cs="Arial"/>
          <w:sz w:val="21"/>
          <w:szCs w:val="21"/>
        </w:rPr>
        <w:t xml:space="preserve">and aesthetically </w:t>
      </w:r>
      <w:r w:rsidRPr="00771A65">
        <w:rPr>
          <w:rFonts w:cs="Arial"/>
          <w:sz w:val="21"/>
          <w:szCs w:val="21"/>
        </w:rPr>
        <w:t>significant</w:t>
      </w:r>
      <w:r w:rsidR="00E27CFE" w:rsidRPr="00771A65">
        <w:rPr>
          <w:rFonts w:cs="Arial"/>
          <w:sz w:val="21"/>
          <w:szCs w:val="21"/>
        </w:rPr>
        <w:t>. Worlingworth is an example of a substantial brick dwelling and farm</w:t>
      </w:r>
      <w:r w:rsidR="00CC739E" w:rsidRPr="00771A65">
        <w:rPr>
          <w:rFonts w:cs="Arial"/>
          <w:sz w:val="21"/>
          <w:szCs w:val="21"/>
        </w:rPr>
        <w:t xml:space="preserve">. The </w:t>
      </w:r>
      <w:r w:rsidR="00EC4501" w:rsidRPr="00771A65">
        <w:rPr>
          <w:rFonts w:cs="Arial"/>
          <w:sz w:val="21"/>
          <w:szCs w:val="21"/>
        </w:rPr>
        <w:t>property is associated with notable anthropologist Donald Thompson, and illustrates Eltham</w:t>
      </w:r>
      <w:r w:rsidR="00DD7852" w:rsidRPr="00771A65">
        <w:rPr>
          <w:rFonts w:cs="Arial"/>
          <w:sz w:val="21"/>
          <w:szCs w:val="21"/>
        </w:rPr>
        <w:t xml:space="preserve">’s development to a desirable residential suburb. </w:t>
      </w:r>
      <w:r w:rsidR="00146906" w:rsidRPr="00771A65">
        <w:rPr>
          <w:rFonts w:cs="Arial"/>
          <w:sz w:val="21"/>
          <w:szCs w:val="21"/>
        </w:rPr>
        <w:t>145 River Avenue compares favourably as an interwar brick residence</w:t>
      </w:r>
      <w:r w:rsidR="00BD74C9" w:rsidRPr="00771A65">
        <w:rPr>
          <w:rFonts w:cs="Arial"/>
          <w:sz w:val="21"/>
          <w:szCs w:val="21"/>
        </w:rPr>
        <w:t xml:space="preserve">, with both properties retaining their setting and evidence of farming practices. </w:t>
      </w:r>
    </w:p>
    <w:p w14:paraId="7E576C8A" w14:textId="26440D84" w:rsidR="003242D8" w:rsidRDefault="0068052E" w:rsidP="0053253F">
      <w:pPr>
        <w:rPr>
          <w:rFonts w:cs="Arial"/>
        </w:rPr>
      </w:pPr>
      <w:r>
        <w:rPr>
          <w:rFonts w:cs="Arial"/>
          <w:noProof/>
          <w:lang w:eastAsia="en-AU"/>
        </w:rPr>
        <w:lastRenderedPageBreak/>
        <w:drawing>
          <wp:inline distT="0" distB="0" distL="0" distR="0" wp14:anchorId="30D79177" wp14:editId="17914FB4">
            <wp:extent cx="3907766" cy="281406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2128" cy="2817203"/>
                    </a:xfrm>
                    <a:prstGeom prst="rect">
                      <a:avLst/>
                    </a:prstGeom>
                    <a:noFill/>
                    <a:ln>
                      <a:noFill/>
                    </a:ln>
                  </pic:spPr>
                </pic:pic>
              </a:graphicData>
            </a:graphic>
          </wp:inline>
        </w:drawing>
      </w:r>
    </w:p>
    <w:p w14:paraId="65C9A750" w14:textId="011CB0A8" w:rsidR="00BD74C9" w:rsidRPr="00E5434E" w:rsidRDefault="00BD74C9" w:rsidP="0053253F">
      <w:pPr>
        <w:rPr>
          <w:rFonts w:cs="Arial"/>
          <w:i/>
          <w:iCs/>
        </w:rPr>
      </w:pPr>
      <w:r w:rsidRPr="00D06B56">
        <w:rPr>
          <w:rFonts w:cs="Arial"/>
          <w:i/>
          <w:iCs/>
        </w:rPr>
        <w:t xml:space="preserve">Figure 6: Worlingworth, at </w:t>
      </w:r>
      <w:r w:rsidR="00D06B56" w:rsidRPr="00D06B56">
        <w:rPr>
          <w:rFonts w:cs="Arial"/>
          <w:i/>
          <w:iCs/>
        </w:rPr>
        <w:t>10-26 Banoon Road, Eltham. Source: Shire of Eltham Heritage Study, 1992.</w:t>
      </w:r>
    </w:p>
    <w:p w14:paraId="56FAB137" w14:textId="77777777" w:rsidR="003242D8" w:rsidRPr="00E5434E" w:rsidRDefault="003242D8" w:rsidP="0053253F">
      <w:pPr>
        <w:rPr>
          <w:rFonts w:cs="Arial"/>
        </w:rPr>
      </w:pPr>
    </w:p>
    <w:p w14:paraId="5759CC9A" w14:textId="77777777" w:rsidR="00146CC2" w:rsidRPr="00E5434E" w:rsidRDefault="00146CC2" w:rsidP="0032513D">
      <w:pPr>
        <w:rPr>
          <w:sz w:val="21"/>
          <w:szCs w:val="21"/>
        </w:rPr>
      </w:pPr>
    </w:p>
    <w:p w14:paraId="64AEE02C" w14:textId="73E9A2C6" w:rsidR="00FD08A6" w:rsidRDefault="00146CC2" w:rsidP="0053253F">
      <w:pPr>
        <w:rPr>
          <w:rFonts w:cs="Arial"/>
          <w:sz w:val="21"/>
          <w:szCs w:val="21"/>
        </w:rPr>
      </w:pPr>
      <w:r w:rsidRPr="00E5434E">
        <w:rPr>
          <w:sz w:val="21"/>
          <w:szCs w:val="21"/>
        </w:rPr>
        <w:t xml:space="preserve">The property at 145 River Avenue </w:t>
      </w:r>
      <w:r w:rsidR="00602D7F">
        <w:rPr>
          <w:sz w:val="21"/>
          <w:szCs w:val="21"/>
        </w:rPr>
        <w:t xml:space="preserve">compares </w:t>
      </w:r>
      <w:r w:rsidR="00E922E1">
        <w:rPr>
          <w:sz w:val="21"/>
          <w:szCs w:val="21"/>
        </w:rPr>
        <w:t xml:space="preserve">favourably as </w:t>
      </w:r>
      <w:r w:rsidRPr="00E5434E">
        <w:rPr>
          <w:sz w:val="21"/>
          <w:szCs w:val="21"/>
        </w:rPr>
        <w:t>a remarkably intact example of a</w:t>
      </w:r>
      <w:r w:rsidR="00E922E1">
        <w:rPr>
          <w:sz w:val="21"/>
          <w:szCs w:val="21"/>
        </w:rPr>
        <w:t xml:space="preserve"> brick</w:t>
      </w:r>
      <w:r w:rsidRPr="00E5434E">
        <w:rPr>
          <w:sz w:val="21"/>
          <w:szCs w:val="21"/>
        </w:rPr>
        <w:t xml:space="preserve"> inter-war bungalow. The site retains two large outbuildings</w:t>
      </w:r>
      <w:r w:rsidR="00137F73">
        <w:rPr>
          <w:sz w:val="21"/>
          <w:szCs w:val="21"/>
        </w:rPr>
        <w:t>.</w:t>
      </w:r>
      <w:r w:rsidRPr="00E5434E">
        <w:rPr>
          <w:sz w:val="21"/>
          <w:szCs w:val="21"/>
        </w:rPr>
        <w:t xml:space="preserve"> </w:t>
      </w:r>
      <w:r w:rsidR="00137F73">
        <w:rPr>
          <w:sz w:val="21"/>
          <w:szCs w:val="21"/>
        </w:rPr>
        <w:t xml:space="preserve">The property </w:t>
      </w:r>
      <w:r w:rsidRPr="00E5434E">
        <w:rPr>
          <w:sz w:val="21"/>
          <w:szCs w:val="21"/>
        </w:rPr>
        <w:t>is associated with the Gladmans</w:t>
      </w:r>
      <w:r w:rsidR="00D23944" w:rsidRPr="00E5434E">
        <w:rPr>
          <w:sz w:val="21"/>
          <w:szCs w:val="21"/>
        </w:rPr>
        <w:t>,</w:t>
      </w:r>
      <w:r w:rsidRPr="00E5434E">
        <w:rPr>
          <w:sz w:val="21"/>
          <w:szCs w:val="21"/>
        </w:rPr>
        <w:t xml:space="preserve"> who made a large contribution to the welfare of the district as noted when they left the area in 1928.</w:t>
      </w:r>
      <w:r w:rsidR="00E922E1">
        <w:rPr>
          <w:sz w:val="21"/>
          <w:szCs w:val="21"/>
        </w:rPr>
        <w:t xml:space="preserve"> </w:t>
      </w:r>
      <w:r w:rsidR="00F032DD">
        <w:rPr>
          <w:sz w:val="21"/>
          <w:szCs w:val="21"/>
        </w:rPr>
        <w:t>The setting of the house</w:t>
      </w:r>
      <w:r w:rsidR="00EA2B00">
        <w:rPr>
          <w:sz w:val="21"/>
          <w:szCs w:val="21"/>
        </w:rPr>
        <w:t xml:space="preserve">, including the setback from the road and the remnant </w:t>
      </w:r>
      <w:r w:rsidR="005A3522">
        <w:rPr>
          <w:sz w:val="21"/>
          <w:szCs w:val="21"/>
        </w:rPr>
        <w:t>outbuildings</w:t>
      </w:r>
      <w:r w:rsidR="00EA2B00">
        <w:rPr>
          <w:sz w:val="21"/>
          <w:szCs w:val="21"/>
        </w:rPr>
        <w:t>,</w:t>
      </w:r>
      <w:r w:rsidR="00F032DD">
        <w:rPr>
          <w:sz w:val="21"/>
          <w:szCs w:val="21"/>
        </w:rPr>
        <w:t xml:space="preserve"> further demonstrates </w:t>
      </w:r>
      <w:r w:rsidR="00EA2B00">
        <w:rPr>
          <w:sz w:val="21"/>
          <w:szCs w:val="21"/>
        </w:rPr>
        <w:t>the</w:t>
      </w:r>
      <w:r w:rsidR="00F032DD">
        <w:rPr>
          <w:sz w:val="21"/>
          <w:szCs w:val="21"/>
        </w:rPr>
        <w:t xml:space="preserve"> </w:t>
      </w:r>
      <w:r w:rsidR="005A3522">
        <w:rPr>
          <w:sz w:val="21"/>
          <w:szCs w:val="21"/>
        </w:rPr>
        <w:t>property’s</w:t>
      </w:r>
      <w:r w:rsidR="00F032DD">
        <w:rPr>
          <w:sz w:val="21"/>
          <w:szCs w:val="21"/>
        </w:rPr>
        <w:t xml:space="preserve"> farming </w:t>
      </w:r>
      <w:r w:rsidR="00771A65">
        <w:rPr>
          <w:sz w:val="21"/>
          <w:szCs w:val="21"/>
        </w:rPr>
        <w:t>history.</w:t>
      </w:r>
    </w:p>
    <w:p w14:paraId="68887FE9" w14:textId="77777777" w:rsidR="0027464D" w:rsidRDefault="0027464D">
      <w:pPr>
        <w:overflowPunct/>
        <w:autoSpaceDE/>
        <w:autoSpaceDN/>
        <w:adjustRightInd/>
        <w:jc w:val="left"/>
        <w:textAlignment w:val="auto"/>
        <w:rPr>
          <w:rFonts w:cs="Arial"/>
          <w:b/>
          <w:sz w:val="21"/>
          <w:szCs w:val="21"/>
        </w:rPr>
      </w:pPr>
      <w:r>
        <w:rPr>
          <w:rFonts w:cs="Arial"/>
          <w:b/>
          <w:sz w:val="21"/>
          <w:szCs w:val="21"/>
        </w:rPr>
        <w:br w:type="page"/>
      </w:r>
    </w:p>
    <w:p w14:paraId="4DF17408" w14:textId="494B4AFC"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2811D1D8" w14:textId="77777777" w:rsidR="00871AD2" w:rsidRDefault="00871AD2" w:rsidP="0053253F">
      <w:pPr>
        <w:rPr>
          <w:rFonts w:cs="Arial"/>
          <w:sz w:val="21"/>
          <w:szCs w:val="21"/>
        </w:rPr>
      </w:pPr>
    </w:p>
    <w:p w14:paraId="6D8DDF7E" w14:textId="4C29394D" w:rsidR="00871AD2" w:rsidRDefault="00D06B56" w:rsidP="0053253F">
      <w:pPr>
        <w:rPr>
          <w:rFonts w:cs="Arial"/>
          <w:sz w:val="21"/>
          <w:szCs w:val="21"/>
        </w:rPr>
      </w:pPr>
      <w:r>
        <w:rPr>
          <w:rFonts w:cs="Arial"/>
          <w:sz w:val="21"/>
          <w:szCs w:val="21"/>
        </w:rPr>
        <w:t>145 River Avenue</w:t>
      </w:r>
      <w:r w:rsidR="002501CA">
        <w:rPr>
          <w:rFonts w:cs="Arial"/>
          <w:sz w:val="21"/>
          <w:szCs w:val="21"/>
        </w:rPr>
        <w:t>, Plenty</w:t>
      </w:r>
      <w:r w:rsidR="00A2579A">
        <w:rPr>
          <w:rFonts w:cs="Arial"/>
          <w:sz w:val="21"/>
          <w:szCs w:val="21"/>
        </w:rPr>
        <w:t xml:space="preserve"> is historically significant to the Shire of Nillumbik as an example of a 1920s residence </w:t>
      </w:r>
      <w:r w:rsidR="001B089C">
        <w:rPr>
          <w:rFonts w:cs="Arial"/>
          <w:sz w:val="21"/>
          <w:szCs w:val="21"/>
        </w:rPr>
        <w:t>retaining evidence of its original farm setting and use.</w:t>
      </w:r>
      <w:r w:rsidR="00C31DE8">
        <w:rPr>
          <w:rFonts w:cs="Arial"/>
          <w:sz w:val="21"/>
          <w:szCs w:val="21"/>
        </w:rPr>
        <w:t xml:space="preserve"> It is an example of </w:t>
      </w:r>
      <w:r w:rsidR="00F53D9B">
        <w:rPr>
          <w:rFonts w:cs="Arial"/>
          <w:sz w:val="21"/>
          <w:szCs w:val="21"/>
        </w:rPr>
        <w:t>early development within small-holder subdivision, the Plenty</w:t>
      </w:r>
      <w:r w:rsidR="001B247A">
        <w:rPr>
          <w:rFonts w:cs="Arial"/>
          <w:sz w:val="21"/>
          <w:szCs w:val="21"/>
        </w:rPr>
        <w:t xml:space="preserve"> Rover Estate.</w:t>
      </w:r>
      <w:r w:rsidR="001B089C">
        <w:rPr>
          <w:rFonts w:cs="Arial"/>
          <w:sz w:val="21"/>
          <w:szCs w:val="21"/>
        </w:rPr>
        <w:t xml:space="preserve"> It is </w:t>
      </w:r>
      <w:r w:rsidR="007C71A3">
        <w:rPr>
          <w:rFonts w:cs="Arial"/>
          <w:sz w:val="21"/>
          <w:szCs w:val="21"/>
        </w:rPr>
        <w:t xml:space="preserve">one of a few </w:t>
      </w:r>
      <w:r w:rsidR="001B089C">
        <w:rPr>
          <w:rFonts w:cs="Arial"/>
          <w:sz w:val="21"/>
          <w:szCs w:val="21"/>
        </w:rPr>
        <w:t>brick dwelling</w:t>
      </w:r>
      <w:r w:rsidR="007C71A3">
        <w:rPr>
          <w:rFonts w:cs="Arial"/>
          <w:sz w:val="21"/>
          <w:szCs w:val="21"/>
        </w:rPr>
        <w:t>s in the area</w:t>
      </w:r>
      <w:r w:rsidR="001B089C">
        <w:rPr>
          <w:rFonts w:cs="Arial"/>
          <w:sz w:val="21"/>
          <w:szCs w:val="21"/>
        </w:rPr>
        <w:t xml:space="preserve"> from this period</w:t>
      </w:r>
      <w:r w:rsidR="00EF4B07">
        <w:rPr>
          <w:rFonts w:cs="Arial"/>
          <w:sz w:val="21"/>
          <w:szCs w:val="21"/>
        </w:rPr>
        <w:t xml:space="preserve">, demonstrating the </w:t>
      </w:r>
      <w:r w:rsidR="003D3FB1">
        <w:rPr>
          <w:rFonts w:cs="Arial"/>
          <w:sz w:val="21"/>
          <w:szCs w:val="21"/>
        </w:rPr>
        <w:t>stylistic transitions common in the interwar period</w:t>
      </w:r>
      <w:r w:rsidR="001B089C">
        <w:rPr>
          <w:rFonts w:cs="Arial"/>
          <w:sz w:val="21"/>
          <w:szCs w:val="21"/>
        </w:rPr>
        <w:t xml:space="preserve">, and </w:t>
      </w:r>
      <w:r w:rsidR="00EF4B07">
        <w:rPr>
          <w:rFonts w:cs="Arial"/>
          <w:sz w:val="21"/>
          <w:szCs w:val="21"/>
        </w:rPr>
        <w:t>is distinguished for its intactness</w:t>
      </w:r>
      <w:r w:rsidR="003D3FB1">
        <w:rPr>
          <w:rFonts w:cs="Arial"/>
          <w:sz w:val="21"/>
          <w:szCs w:val="21"/>
        </w:rPr>
        <w:t>.</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1859EE08" w:rsidR="00A443BF" w:rsidRDefault="00871AD2" w:rsidP="0053253F">
      <w:pPr>
        <w:rPr>
          <w:rFonts w:cs="Arial"/>
          <w:sz w:val="21"/>
          <w:szCs w:val="21"/>
        </w:rPr>
      </w:pPr>
      <w:r>
        <w:rPr>
          <w:rFonts w:cs="Arial"/>
          <w:sz w:val="21"/>
          <w:szCs w:val="21"/>
        </w:rPr>
        <w:t>N/A</w:t>
      </w: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52773C67" w:rsidR="00A443BF" w:rsidRPr="00533CF2" w:rsidRDefault="00592039" w:rsidP="0053253F">
      <w:pPr>
        <w:rPr>
          <w:rFonts w:cs="Arial"/>
          <w:sz w:val="21"/>
          <w:szCs w:val="21"/>
        </w:rPr>
      </w:pPr>
      <w:r>
        <w:rPr>
          <w:rFonts w:cs="Arial"/>
          <w:sz w:val="21"/>
          <w:szCs w:val="21"/>
        </w:rPr>
        <w:t>N/A</w:t>
      </w:r>
    </w:p>
    <w:p w14:paraId="458BE668" w14:textId="77777777" w:rsidR="003F57F8" w:rsidRPr="00533CF2" w:rsidRDefault="003F57F8" w:rsidP="0053253F">
      <w:pPr>
        <w:rPr>
          <w:rFonts w:cs="Arial"/>
          <w:i/>
          <w:sz w:val="21"/>
          <w:szCs w:val="21"/>
        </w:rPr>
      </w:pPr>
    </w:p>
    <w:p w14:paraId="58D89669" w14:textId="5E5C683D" w:rsidR="000335CF" w:rsidRPr="00E5434E" w:rsidRDefault="00A443BF" w:rsidP="0053253F">
      <w:pPr>
        <w:rPr>
          <w:rFonts w:cs="Arial"/>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470DDD" w14:textId="51FDB2EE" w:rsidR="000335CF" w:rsidRPr="00E5434E" w:rsidRDefault="000335CF" w:rsidP="0053253F">
      <w:pPr>
        <w:rPr>
          <w:rFonts w:cs="Arial"/>
          <w:sz w:val="21"/>
          <w:szCs w:val="21"/>
        </w:rPr>
      </w:pPr>
      <w:r w:rsidRPr="00E5434E">
        <w:rPr>
          <w:rFonts w:cs="Arial"/>
          <w:sz w:val="21"/>
          <w:szCs w:val="21"/>
        </w:rPr>
        <w:t xml:space="preserve">145 </w:t>
      </w:r>
      <w:r>
        <w:rPr>
          <w:rFonts w:cs="Arial"/>
          <w:sz w:val="21"/>
          <w:szCs w:val="21"/>
        </w:rPr>
        <w:t>River Avenue, Plenty is a representative example of an inter</w:t>
      </w:r>
      <w:r w:rsidR="003900F2">
        <w:rPr>
          <w:rFonts w:cs="Arial"/>
          <w:sz w:val="21"/>
          <w:szCs w:val="21"/>
        </w:rPr>
        <w:t xml:space="preserve">war farm and dwelling. The house is remarkably intact and </w:t>
      </w:r>
      <w:r w:rsidR="00592039">
        <w:rPr>
          <w:rFonts w:cs="Arial"/>
          <w:sz w:val="21"/>
          <w:szCs w:val="21"/>
        </w:rPr>
        <w:t xml:space="preserve">demonstrates the transition </w:t>
      </w:r>
      <w:r w:rsidR="001A416F">
        <w:rPr>
          <w:rFonts w:cs="Arial"/>
          <w:sz w:val="21"/>
          <w:szCs w:val="21"/>
        </w:rPr>
        <w:t xml:space="preserve">to interwar bungalow </w:t>
      </w:r>
      <w:r w:rsidR="0048206A">
        <w:rPr>
          <w:rFonts w:cs="Arial"/>
          <w:sz w:val="21"/>
          <w:szCs w:val="21"/>
        </w:rPr>
        <w:t>design</w:t>
      </w:r>
      <w:r w:rsidR="000F16D2">
        <w:rPr>
          <w:rFonts w:cs="Arial"/>
          <w:sz w:val="21"/>
          <w:szCs w:val="21"/>
        </w:rPr>
        <w:t xml:space="preserve"> and the use of these popular </w:t>
      </w:r>
      <w:r w:rsidR="009F4C2B">
        <w:rPr>
          <w:rFonts w:cs="Arial"/>
          <w:sz w:val="21"/>
          <w:szCs w:val="21"/>
        </w:rPr>
        <w:t>suburban styles in the rural setting</w:t>
      </w:r>
      <w:r w:rsidR="0048206A">
        <w:rPr>
          <w:rFonts w:cs="Arial"/>
          <w:sz w:val="21"/>
          <w:szCs w:val="21"/>
        </w:rPr>
        <w:t xml:space="preserve">. </w:t>
      </w: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36D4EC0E" w:rsidR="00A443BF" w:rsidRPr="00533CF2" w:rsidRDefault="00592039" w:rsidP="0053253F">
      <w:pPr>
        <w:rPr>
          <w:rFonts w:cs="Arial"/>
          <w:sz w:val="21"/>
          <w:szCs w:val="21"/>
        </w:rPr>
      </w:pPr>
      <w:r>
        <w:rPr>
          <w:rFonts w:cs="Arial"/>
          <w:sz w:val="21"/>
          <w:szCs w:val="21"/>
        </w:rPr>
        <w:t>N/A</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370E2399" w:rsidR="00A443BF" w:rsidRPr="00533CF2" w:rsidRDefault="001B3D25" w:rsidP="0053253F">
      <w:pPr>
        <w:rPr>
          <w:rFonts w:cs="Arial"/>
          <w:sz w:val="21"/>
          <w:szCs w:val="21"/>
        </w:rPr>
      </w:pPr>
      <w:r>
        <w:rPr>
          <w:rFonts w:cs="Arial"/>
          <w:sz w:val="21"/>
          <w:szCs w:val="21"/>
        </w:rPr>
        <w:t>N/A</w:t>
      </w: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2631B316" w:rsidR="00437685" w:rsidRPr="00E5434E" w:rsidRDefault="001B3D25" w:rsidP="0053253F">
      <w:pPr>
        <w:rPr>
          <w:rFonts w:cs="Arial"/>
          <w:iCs/>
          <w:sz w:val="21"/>
          <w:szCs w:val="21"/>
        </w:rPr>
      </w:pPr>
      <w:r>
        <w:rPr>
          <w:rFonts w:cs="Arial"/>
          <w:iCs/>
          <w:sz w:val="21"/>
          <w:szCs w:val="21"/>
        </w:rPr>
        <w:t>N/A</w:t>
      </w: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71FBDC4F" w:rsidR="006E17E9" w:rsidRDefault="005A3522" w:rsidP="0053253F">
      <w:pPr>
        <w:rPr>
          <w:rFonts w:cs="Arial"/>
          <w:sz w:val="21"/>
          <w:szCs w:val="21"/>
        </w:rPr>
      </w:pPr>
      <w:r>
        <w:rPr>
          <w:rFonts w:cs="Arial"/>
          <w:sz w:val="21"/>
          <w:szCs w:val="21"/>
        </w:rPr>
        <w:t>N/A</w:t>
      </w:r>
    </w:p>
    <w:p w14:paraId="66B73E4A" w14:textId="77777777" w:rsidR="006E17E9" w:rsidRDefault="006E17E9" w:rsidP="0053253F">
      <w:pPr>
        <w:rPr>
          <w:rFonts w:cs="Arial"/>
          <w:b/>
          <w:sz w:val="21"/>
          <w:szCs w:val="21"/>
        </w:rPr>
      </w:pPr>
    </w:p>
    <w:p w14:paraId="50FD4A82" w14:textId="77777777" w:rsidR="004E0E90" w:rsidRDefault="004E0E90">
      <w:pPr>
        <w:overflowPunct/>
        <w:autoSpaceDE/>
        <w:autoSpaceDN/>
        <w:adjustRightInd/>
        <w:jc w:val="left"/>
        <w:textAlignment w:val="auto"/>
        <w:rPr>
          <w:rFonts w:cs="Arial"/>
          <w:b/>
          <w:sz w:val="21"/>
          <w:szCs w:val="21"/>
        </w:rPr>
      </w:pPr>
      <w:r>
        <w:rPr>
          <w:rFonts w:cs="Arial"/>
          <w:b/>
          <w:sz w:val="21"/>
          <w:szCs w:val="21"/>
        </w:rPr>
        <w:br w:type="page"/>
      </w:r>
    </w:p>
    <w:p w14:paraId="3C813A76" w14:textId="5432741C"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248B2F79" w14:textId="63AFBF1F" w:rsidR="001F1FC1" w:rsidRDefault="006E17E9" w:rsidP="3FC870CB">
      <w:pPr>
        <w:rPr>
          <w:rFonts w:eastAsia="Arial" w:cs="Arial"/>
          <w:color w:val="000000" w:themeColor="text1"/>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w:t>
      </w:r>
      <w:r w:rsidR="001F1FC1">
        <w:rPr>
          <w:rFonts w:cs="Arial"/>
          <w:sz w:val="21"/>
          <w:szCs w:val="21"/>
        </w:rPr>
        <w:t>l</w:t>
      </w:r>
      <w:r w:rsidR="07C658F1" w:rsidRPr="3FC870CB">
        <w:rPr>
          <w:rFonts w:cs="Arial"/>
          <w:sz w:val="21"/>
          <w:szCs w:val="21"/>
        </w:rPr>
        <w:t>lumbik</w:t>
      </w:r>
      <w:r w:rsidR="00831F05" w:rsidRPr="3FC870CB">
        <w:rPr>
          <w:rFonts w:cs="Arial"/>
          <w:sz w:val="21"/>
          <w:szCs w:val="21"/>
          <w:highlight w:val="yellow"/>
        </w:rPr>
        <w:t xml:space="preserve"> </w:t>
      </w:r>
      <w:r w:rsidR="00831F05" w:rsidRPr="3FC870CB">
        <w:rPr>
          <w:rFonts w:cs="Arial"/>
          <w:sz w:val="21"/>
          <w:szCs w:val="21"/>
        </w:rPr>
        <w:t>Planning Scheme.</w:t>
      </w:r>
    </w:p>
    <w:p w14:paraId="0C23B901" w14:textId="77777777" w:rsidR="001F1FC1" w:rsidRDefault="001F1FC1" w:rsidP="3FC870CB">
      <w:pPr>
        <w:rPr>
          <w:rFonts w:eastAsia="Arial" w:cs="Arial"/>
          <w:color w:val="000000" w:themeColor="text1"/>
          <w:sz w:val="21"/>
          <w:szCs w:val="21"/>
        </w:rPr>
      </w:pPr>
    </w:p>
    <w:p w14:paraId="09F9F76B" w14:textId="46985CCB" w:rsidR="004E6328" w:rsidRPr="00533CF2" w:rsidRDefault="075196F8" w:rsidP="3FC870CB">
      <w:pPr>
        <w:rPr>
          <w:rFonts w:eastAsia="Arial" w:cs="Arial"/>
          <w:sz w:val="21"/>
          <w:szCs w:val="21"/>
        </w:rPr>
      </w:pPr>
      <w:r w:rsidRPr="3FC870CB">
        <w:rPr>
          <w:rFonts w:eastAsia="Arial" w:cs="Arial"/>
          <w:color w:val="000000" w:themeColor="text1"/>
          <w:sz w:val="21"/>
          <w:szCs w:val="21"/>
        </w:rPr>
        <w:t>Recommendations for the Schedule to the Heritage Overlay (Clause 43.01) in the Ni</w:t>
      </w:r>
      <w:r w:rsidR="001F1FC1">
        <w:rPr>
          <w:rFonts w:eastAsia="Arial" w:cs="Arial"/>
          <w:color w:val="000000" w:themeColor="text1"/>
          <w:sz w:val="21"/>
          <w:szCs w:val="21"/>
        </w:rPr>
        <w:t>l</w:t>
      </w:r>
      <w:r w:rsidRPr="3FC870CB">
        <w:rPr>
          <w:rFonts w:eastAsia="Arial" w:cs="Arial"/>
          <w:color w:val="000000" w:themeColor="text1"/>
          <w:sz w:val="21"/>
          <w:szCs w:val="21"/>
        </w:rPr>
        <w:t>lumbik Planning Scheme:</w:t>
      </w: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549D1EE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w:t>
            </w:r>
            <w:r w:rsidR="004E0E90" w:rsidRPr="3FC870CB">
              <w:rPr>
                <w:rFonts w:eastAsia="Arial" w:cs="Arial"/>
                <w:b/>
                <w:bCs/>
                <w:color w:val="000000" w:themeColor="text1"/>
                <w:sz w:val="21"/>
                <w:szCs w:val="21"/>
              </w:rPr>
              <w:t>Co</w:t>
            </w:r>
            <w:r w:rsidR="004E0E90">
              <w:rPr>
                <w:rFonts w:eastAsia="Arial" w:cs="Arial"/>
                <w:b/>
                <w:bCs/>
                <w:color w:val="000000" w:themeColor="text1"/>
                <w:sz w:val="21"/>
                <w:szCs w:val="21"/>
              </w:rPr>
              <w:t>ntrols</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2AB79ECC" w:rsidR="0D33FB3A" w:rsidRDefault="004E0E9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0F6613EE" w:rsidR="3FC870CB" w:rsidRDefault="004E0E9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5BABA487" w:rsidR="3FC870CB" w:rsidRDefault="004E0E9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1106DDA8" w:rsidR="3FC870CB" w:rsidRDefault="004E0E9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25912A53" w:rsidR="3FC870CB" w:rsidRDefault="004E0E9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1B1DF93E" w:rsidR="3FC870CB" w:rsidRDefault="00536098"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6153BCE4" w:rsidR="3FC870CB" w:rsidRDefault="00867F32"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64826D4A" w:rsidR="3FC870CB" w:rsidRDefault="00867F32"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62DBF479" w14:textId="48E2DF60" w:rsidR="50767ADB" w:rsidRDefault="50767ADB" w:rsidP="50767ADB">
      <w:pPr>
        <w:rPr>
          <w:sz w:val="21"/>
          <w:szCs w:val="21"/>
        </w:rPr>
      </w:pPr>
    </w:p>
    <w:p w14:paraId="3BCF68DA" w14:textId="007A3D6C" w:rsidR="000A6A88" w:rsidRDefault="000A6A88" w:rsidP="0053253F">
      <w:pPr>
        <w:rPr>
          <w:rFonts w:cs="Arial"/>
          <w:b/>
          <w:sz w:val="21"/>
          <w:szCs w:val="21"/>
        </w:rPr>
      </w:pPr>
      <w:r>
        <w:rPr>
          <w:rFonts w:cs="Arial"/>
          <w:b/>
          <w:sz w:val="21"/>
          <w:szCs w:val="21"/>
        </w:rPr>
        <w:t>Recommended Extent</w:t>
      </w:r>
    </w:p>
    <w:p w14:paraId="3DE1E2D7" w14:textId="7649D9F2" w:rsidR="000A6A88" w:rsidRDefault="000322B2" w:rsidP="0053253F">
      <w:pPr>
        <w:rPr>
          <w:rFonts w:cs="Arial"/>
          <w:b/>
          <w:sz w:val="21"/>
          <w:szCs w:val="21"/>
        </w:rPr>
      </w:pPr>
      <w:r w:rsidRPr="0085169F">
        <w:rPr>
          <w:rFonts w:cs="Arial"/>
          <w:b/>
          <w:noProof/>
          <w:sz w:val="21"/>
          <w:szCs w:val="21"/>
          <w:lang w:eastAsia="en-AU"/>
        </w:rPr>
        <mc:AlternateContent>
          <mc:Choice Requires="wps">
            <w:drawing>
              <wp:anchor distT="0" distB="0" distL="114300" distR="114300" simplePos="0" relativeHeight="251677696" behindDoc="0" locked="0" layoutInCell="1" allowOverlap="1" wp14:anchorId="7FDD1349" wp14:editId="5FF778E0">
                <wp:simplePos x="0" y="0"/>
                <wp:positionH relativeFrom="column">
                  <wp:posOffset>1800226</wp:posOffset>
                </wp:positionH>
                <wp:positionV relativeFrom="paragraph">
                  <wp:posOffset>278765</wp:posOffset>
                </wp:positionV>
                <wp:extent cx="57150" cy="2166620"/>
                <wp:effectExtent l="19050" t="19050" r="19050" b="24130"/>
                <wp:wrapNone/>
                <wp:docPr id="21" name="Straight Connector 21"/>
                <wp:cNvGraphicFramePr/>
                <a:graphic xmlns:a="http://schemas.openxmlformats.org/drawingml/2006/main">
                  <a:graphicData uri="http://schemas.microsoft.com/office/word/2010/wordprocessingShape">
                    <wps:wsp>
                      <wps:cNvCnPr/>
                      <wps:spPr>
                        <a:xfrm>
                          <a:off x="0" y="0"/>
                          <a:ext cx="57150" cy="216662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EAB507">
              <v:line id="Straight Connector 21"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41.75pt,21.95pt" to="146.25pt,192.55pt" w14:anchorId="06166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">
                <v:stroke joinstyle="miter" dashstyle="3 1"/>
              </v:line>
            </w:pict>
          </mc:Fallback>
        </mc:AlternateContent>
      </w:r>
      <w:r w:rsidRPr="0085169F">
        <w:rPr>
          <w:rFonts w:cs="Arial"/>
          <w:b/>
          <w:noProof/>
          <w:sz w:val="21"/>
          <w:szCs w:val="21"/>
          <w:lang w:eastAsia="en-AU"/>
        </w:rPr>
        <mc:AlternateContent>
          <mc:Choice Requires="wps">
            <w:drawing>
              <wp:anchor distT="0" distB="0" distL="114300" distR="114300" simplePos="0" relativeHeight="251671552" behindDoc="0" locked="0" layoutInCell="1" allowOverlap="1" wp14:anchorId="4412CF84" wp14:editId="2E8131F8">
                <wp:simplePos x="0" y="0"/>
                <wp:positionH relativeFrom="column">
                  <wp:posOffset>1133476</wp:posOffset>
                </wp:positionH>
                <wp:positionV relativeFrom="paragraph">
                  <wp:posOffset>269240</wp:posOffset>
                </wp:positionV>
                <wp:extent cx="666750" cy="44450"/>
                <wp:effectExtent l="19050" t="19050" r="19050" b="31750"/>
                <wp:wrapNone/>
                <wp:docPr id="17" name="Straight Connector 17"/>
                <wp:cNvGraphicFramePr/>
                <a:graphic xmlns:a="http://schemas.openxmlformats.org/drawingml/2006/main">
                  <a:graphicData uri="http://schemas.microsoft.com/office/word/2010/wordprocessingShape">
                    <wps:wsp>
                      <wps:cNvCnPr/>
                      <wps:spPr>
                        <a:xfrm flipV="1">
                          <a:off x="0" y="0"/>
                          <a:ext cx="666750" cy="4445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258057">
              <v:line id="Straight Connector 17"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89.25pt,21.2pt" to="141.75pt,24.7pt" w14:anchorId="42162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">
                <v:stroke joinstyle="miter" dashstyle="3 1"/>
              </v:line>
            </w:pict>
          </mc:Fallback>
        </mc:AlternateContent>
      </w:r>
      <w:r w:rsidR="00690074" w:rsidRPr="0085169F">
        <w:rPr>
          <w:rFonts w:cs="Arial"/>
          <w:b/>
          <w:noProof/>
          <w:sz w:val="21"/>
          <w:szCs w:val="21"/>
          <w:lang w:eastAsia="en-AU"/>
        </w:rPr>
        <mc:AlternateContent>
          <mc:Choice Requires="wps">
            <w:drawing>
              <wp:anchor distT="0" distB="0" distL="114300" distR="114300" simplePos="0" relativeHeight="251679744" behindDoc="0" locked="0" layoutInCell="1" allowOverlap="1" wp14:anchorId="5D174F6E" wp14:editId="412FF150">
                <wp:simplePos x="0" y="0"/>
                <wp:positionH relativeFrom="column">
                  <wp:posOffset>1685926</wp:posOffset>
                </wp:positionH>
                <wp:positionV relativeFrom="paragraph">
                  <wp:posOffset>2431415</wp:posOffset>
                </wp:positionV>
                <wp:extent cx="152400" cy="0"/>
                <wp:effectExtent l="0" t="19050" r="19050" b="19050"/>
                <wp:wrapNone/>
                <wp:docPr id="22" name="Straight Connector 22"/>
                <wp:cNvGraphicFramePr/>
                <a:graphic xmlns:a="http://schemas.openxmlformats.org/drawingml/2006/main">
                  <a:graphicData uri="http://schemas.microsoft.com/office/word/2010/wordprocessingShape">
                    <wps:wsp>
                      <wps:cNvCnPr/>
                      <wps:spPr>
                        <a:xfrm flipV="1">
                          <a:off x="0" y="0"/>
                          <a:ext cx="152400" cy="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978943B">
              <v:line id="Straight Connector 22"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32.75pt,191.45pt" to="144.75pt,191.45pt" w14:anchorId="5616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">
                <v:stroke joinstyle="miter" dashstyle="3 1"/>
              </v:line>
            </w:pict>
          </mc:Fallback>
        </mc:AlternateContent>
      </w:r>
      <w:r w:rsidR="0085169F" w:rsidRPr="0085169F">
        <w:rPr>
          <w:rFonts w:cs="Arial"/>
          <w:b/>
          <w:noProof/>
          <w:sz w:val="21"/>
          <w:szCs w:val="21"/>
          <w:lang w:eastAsia="en-AU"/>
        </w:rPr>
        <mc:AlternateContent>
          <mc:Choice Requires="wps">
            <w:drawing>
              <wp:anchor distT="0" distB="0" distL="114300" distR="114300" simplePos="0" relativeHeight="251675648" behindDoc="0" locked="0" layoutInCell="1" allowOverlap="1" wp14:anchorId="36BF734F" wp14:editId="411C5E17">
                <wp:simplePos x="0" y="0"/>
                <wp:positionH relativeFrom="column">
                  <wp:posOffset>1279009</wp:posOffset>
                </wp:positionH>
                <wp:positionV relativeFrom="paragraph">
                  <wp:posOffset>2216106</wp:posOffset>
                </wp:positionV>
                <wp:extent cx="406252" cy="233547"/>
                <wp:effectExtent l="19050" t="19050" r="32385" b="33655"/>
                <wp:wrapNone/>
                <wp:docPr id="20" name="Straight Connector 20"/>
                <wp:cNvGraphicFramePr/>
                <a:graphic xmlns:a="http://schemas.openxmlformats.org/drawingml/2006/main">
                  <a:graphicData uri="http://schemas.microsoft.com/office/word/2010/wordprocessingShape">
                    <wps:wsp>
                      <wps:cNvCnPr/>
                      <wps:spPr>
                        <a:xfrm>
                          <a:off x="0" y="0"/>
                          <a:ext cx="406252" cy="233547"/>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1C8A91C">
              <v:line id="Straight Connector 20"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00.7pt,174.5pt" to="132.7pt,192.9pt" w14:anchorId="53D9C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">
                <v:stroke joinstyle="miter" dashstyle="3 1"/>
              </v:line>
            </w:pict>
          </mc:Fallback>
        </mc:AlternateContent>
      </w:r>
      <w:r w:rsidR="0085169F" w:rsidRPr="0085169F">
        <w:rPr>
          <w:rFonts w:cs="Arial"/>
          <w:b/>
          <w:noProof/>
          <w:sz w:val="21"/>
          <w:szCs w:val="21"/>
          <w:lang w:eastAsia="en-AU"/>
        </w:rPr>
        <mc:AlternateContent>
          <mc:Choice Requires="wps">
            <w:drawing>
              <wp:anchor distT="0" distB="0" distL="114300" distR="114300" simplePos="0" relativeHeight="251673600" behindDoc="0" locked="0" layoutInCell="1" allowOverlap="1" wp14:anchorId="5AFA25AA" wp14:editId="585B394D">
                <wp:simplePos x="0" y="0"/>
                <wp:positionH relativeFrom="column">
                  <wp:posOffset>821808</wp:posOffset>
                </wp:positionH>
                <wp:positionV relativeFrom="paragraph">
                  <wp:posOffset>1269808</wp:posOffset>
                </wp:positionV>
                <wp:extent cx="459415" cy="948513"/>
                <wp:effectExtent l="19050" t="19050" r="36195" b="23495"/>
                <wp:wrapNone/>
                <wp:docPr id="19" name="Straight Connector 19"/>
                <wp:cNvGraphicFramePr/>
                <a:graphic xmlns:a="http://schemas.openxmlformats.org/drawingml/2006/main">
                  <a:graphicData uri="http://schemas.microsoft.com/office/word/2010/wordprocessingShape">
                    <wps:wsp>
                      <wps:cNvCnPr/>
                      <wps:spPr>
                        <a:xfrm>
                          <a:off x="0" y="0"/>
                          <a:ext cx="459415" cy="948513"/>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D4E12CF">
              <v:line id="Straight Connector 19"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64.7pt,100pt" to="100.85pt,174.7pt" w14:anchorId="790951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">
                <v:stroke joinstyle="miter" dashstyle="3 1"/>
              </v:line>
            </w:pict>
          </mc:Fallback>
        </mc:AlternateContent>
      </w:r>
      <w:r w:rsidR="0085169F" w:rsidRPr="0085169F">
        <w:rPr>
          <w:rFonts w:cs="Arial"/>
          <w:b/>
          <w:noProof/>
          <w:sz w:val="21"/>
          <w:szCs w:val="21"/>
          <w:lang w:eastAsia="en-AU"/>
        </w:rPr>
        <mc:AlternateContent>
          <mc:Choice Requires="wps">
            <w:drawing>
              <wp:anchor distT="0" distB="0" distL="114300" distR="114300" simplePos="0" relativeHeight="251672576" behindDoc="0" locked="0" layoutInCell="1" allowOverlap="1" wp14:anchorId="134CCF63" wp14:editId="2AF4AEC3">
                <wp:simplePos x="0" y="0"/>
                <wp:positionH relativeFrom="column">
                  <wp:posOffset>817880</wp:posOffset>
                </wp:positionH>
                <wp:positionV relativeFrom="paragraph">
                  <wp:posOffset>326390</wp:posOffset>
                </wp:positionV>
                <wp:extent cx="330200" cy="971550"/>
                <wp:effectExtent l="19050" t="19050" r="31750" b="19050"/>
                <wp:wrapNone/>
                <wp:docPr id="18" name="Straight Connector 18"/>
                <wp:cNvGraphicFramePr/>
                <a:graphic xmlns:a="http://schemas.openxmlformats.org/drawingml/2006/main">
                  <a:graphicData uri="http://schemas.microsoft.com/office/word/2010/wordprocessingShape">
                    <wps:wsp>
                      <wps:cNvCnPr/>
                      <wps:spPr>
                        <a:xfrm flipH="1">
                          <a:off x="0" y="0"/>
                          <a:ext cx="330200" cy="97155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D53A235">
              <v:line id="Straight Connector 18"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64.4pt,25.7pt" to="90.4pt,102.2pt" w14:anchorId="0690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">
                <v:stroke joinstyle="miter" dashstyle="3 1"/>
              </v:line>
            </w:pict>
          </mc:Fallback>
        </mc:AlternateContent>
      </w:r>
      <w:r w:rsidR="0085169F">
        <w:rPr>
          <w:rFonts w:cs="Arial"/>
          <w:noProof/>
          <w:sz w:val="21"/>
          <w:szCs w:val="21"/>
          <w:lang w:eastAsia="en-AU"/>
        </w:rPr>
        <w:drawing>
          <wp:inline distT="0" distB="0" distL="0" distR="0" wp14:anchorId="5BAA9432" wp14:editId="608F141D">
            <wp:extent cx="3486150" cy="3009014"/>
            <wp:effectExtent l="0" t="0" r="0" b="1270"/>
            <wp:docPr id="16" name="Picture 16"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aerial view of a city&#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34119" t="8278" r="13219" b="8543"/>
                    <a:stretch/>
                  </pic:blipFill>
                  <pic:spPr bwMode="auto">
                    <a:xfrm>
                      <a:off x="0" y="0"/>
                      <a:ext cx="3494236" cy="3015993"/>
                    </a:xfrm>
                    <a:prstGeom prst="rect">
                      <a:avLst/>
                    </a:prstGeom>
                    <a:ln>
                      <a:noFill/>
                    </a:ln>
                    <a:extLst>
                      <a:ext uri="{53640926-AAD7-44D8-BBD7-CCE9431645EC}">
                        <a14:shadowObscured xmlns:a14="http://schemas.microsoft.com/office/drawing/2010/main"/>
                      </a:ext>
                    </a:extLst>
                  </pic:spPr>
                </pic:pic>
              </a:graphicData>
            </a:graphic>
          </wp:inline>
        </w:drawing>
      </w:r>
    </w:p>
    <w:p w14:paraId="56602504" w14:textId="77777777" w:rsidR="000A6A88" w:rsidRDefault="000A6A88" w:rsidP="0053253F">
      <w:pPr>
        <w:rPr>
          <w:rFonts w:cs="Arial"/>
          <w:b/>
          <w:sz w:val="21"/>
          <w:szCs w:val="21"/>
        </w:rPr>
      </w:pPr>
    </w:p>
    <w:p w14:paraId="35FC2506" w14:textId="68E28DA0"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18DBB61F" w14:textId="274A1D8E" w:rsidR="00935F75" w:rsidRPr="00533CF2" w:rsidRDefault="005967D0" w:rsidP="0053253F">
      <w:pPr>
        <w:rPr>
          <w:rFonts w:cs="Arial"/>
          <w:sz w:val="21"/>
          <w:szCs w:val="21"/>
        </w:rPr>
      </w:pPr>
      <w:r>
        <w:rPr>
          <w:rFonts w:cs="Arial"/>
          <w:sz w:val="21"/>
          <w:szCs w:val="21"/>
        </w:rPr>
        <w:t>Mills &amp; Westbrooke</w:t>
      </w: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Pr="00536098" w:rsidRDefault="002B0C04" w:rsidP="004263CB">
      <w:pPr>
        <w:rPr>
          <w:rFonts w:cs="Arial"/>
          <w:sz w:val="21"/>
          <w:szCs w:val="21"/>
        </w:rPr>
      </w:pPr>
    </w:p>
    <w:p w14:paraId="2D540713" w14:textId="77777777" w:rsidR="003009F2" w:rsidRPr="00536098" w:rsidRDefault="003009F2" w:rsidP="003009F2">
      <w:pPr>
        <w:rPr>
          <w:sz w:val="21"/>
          <w:szCs w:val="21"/>
        </w:rPr>
      </w:pPr>
      <w:r w:rsidRPr="00536098">
        <w:rPr>
          <w:i/>
          <w:iCs/>
          <w:sz w:val="21"/>
          <w:szCs w:val="21"/>
        </w:rPr>
        <w:t>Advertiser (Hurstbridge)</w:t>
      </w:r>
      <w:r w:rsidRPr="00536098">
        <w:rPr>
          <w:sz w:val="21"/>
          <w:szCs w:val="21"/>
        </w:rPr>
        <w:t>, as cited.</w:t>
      </w:r>
    </w:p>
    <w:p w14:paraId="0BA03893" w14:textId="77777777" w:rsidR="003009F2" w:rsidRPr="00536098" w:rsidRDefault="003009F2" w:rsidP="003009F2">
      <w:pPr>
        <w:rPr>
          <w:rFonts w:cs="Arial"/>
          <w:sz w:val="21"/>
          <w:szCs w:val="21"/>
        </w:rPr>
      </w:pPr>
    </w:p>
    <w:p w14:paraId="1CA71C9F" w14:textId="77777777" w:rsidR="003009F2" w:rsidRPr="00536098" w:rsidRDefault="003009F2" w:rsidP="003009F2">
      <w:pPr>
        <w:rPr>
          <w:rFonts w:cs="Arial"/>
          <w:sz w:val="21"/>
          <w:szCs w:val="21"/>
        </w:rPr>
      </w:pPr>
      <w:r w:rsidRPr="00536098">
        <w:rPr>
          <w:rFonts w:cs="Arial"/>
          <w:i/>
          <w:iCs/>
          <w:sz w:val="21"/>
          <w:szCs w:val="21"/>
        </w:rPr>
        <w:t>Argus</w:t>
      </w:r>
      <w:r w:rsidRPr="00536098">
        <w:rPr>
          <w:rFonts w:cs="Arial"/>
          <w:sz w:val="21"/>
          <w:szCs w:val="21"/>
        </w:rPr>
        <w:t>, as cited.</w:t>
      </w:r>
    </w:p>
    <w:p w14:paraId="6914C6D9" w14:textId="77777777" w:rsidR="003009F2" w:rsidRPr="00536098" w:rsidRDefault="003009F2" w:rsidP="003009F2">
      <w:pPr>
        <w:rPr>
          <w:rFonts w:cs="Arial"/>
          <w:sz w:val="21"/>
          <w:szCs w:val="21"/>
        </w:rPr>
      </w:pPr>
    </w:p>
    <w:p w14:paraId="2745FCD2" w14:textId="73B137F6" w:rsidR="003009F2" w:rsidRPr="00536098" w:rsidRDefault="003009F2" w:rsidP="003009F2">
      <w:pPr>
        <w:rPr>
          <w:sz w:val="21"/>
          <w:szCs w:val="21"/>
        </w:rPr>
      </w:pPr>
      <w:r w:rsidRPr="00536098">
        <w:rPr>
          <w:sz w:val="21"/>
          <w:szCs w:val="21"/>
        </w:rPr>
        <w:t xml:space="preserve">Australian Section, Imperial General Staff Great Britain c1930, ‘Victoria, Yan </w:t>
      </w:r>
      <w:r w:rsidR="00BC06C3" w:rsidRPr="00536098">
        <w:rPr>
          <w:sz w:val="21"/>
          <w:szCs w:val="21"/>
        </w:rPr>
        <w:t>Yean [</w:t>
      </w:r>
      <w:r w:rsidRPr="00536098">
        <w:rPr>
          <w:sz w:val="21"/>
          <w:szCs w:val="21"/>
        </w:rPr>
        <w:t>cartographic material] 1:63,360 topo series’ War Office, General Staff, Australian Section, State Library of Victoria (SLV) Map Collection</w:t>
      </w:r>
    </w:p>
    <w:p w14:paraId="123D3185" w14:textId="77777777" w:rsidR="003009F2" w:rsidRPr="00536098" w:rsidRDefault="003009F2" w:rsidP="003009F2">
      <w:pPr>
        <w:rPr>
          <w:rFonts w:cs="Arial"/>
          <w:sz w:val="21"/>
          <w:szCs w:val="21"/>
        </w:rPr>
      </w:pPr>
    </w:p>
    <w:p w14:paraId="348A5015" w14:textId="77777777" w:rsidR="003009F2" w:rsidRPr="00536098" w:rsidRDefault="003009F2" w:rsidP="003009F2">
      <w:pPr>
        <w:rPr>
          <w:rFonts w:cs="Arial"/>
          <w:sz w:val="21"/>
          <w:szCs w:val="21"/>
        </w:rPr>
      </w:pPr>
      <w:r w:rsidRPr="00536098">
        <w:rPr>
          <w:sz w:val="21"/>
          <w:szCs w:val="21"/>
        </w:rPr>
        <w:t xml:space="preserve">Births Deaths &amp; Marriages, Victoria (BDM), as cited.  </w:t>
      </w:r>
    </w:p>
    <w:p w14:paraId="02E6186A" w14:textId="77777777" w:rsidR="003009F2" w:rsidRPr="00536098" w:rsidRDefault="003009F2" w:rsidP="003009F2">
      <w:pPr>
        <w:rPr>
          <w:rFonts w:cs="Arial"/>
          <w:sz w:val="21"/>
          <w:szCs w:val="21"/>
        </w:rPr>
      </w:pPr>
    </w:p>
    <w:p w14:paraId="1BC4FD1E" w14:textId="77777777" w:rsidR="003009F2" w:rsidRPr="00536098" w:rsidRDefault="003009F2" w:rsidP="003009F2">
      <w:pPr>
        <w:rPr>
          <w:sz w:val="21"/>
          <w:szCs w:val="21"/>
        </w:rPr>
      </w:pPr>
      <w:r w:rsidRPr="00536098">
        <w:rPr>
          <w:sz w:val="21"/>
          <w:szCs w:val="21"/>
        </w:rPr>
        <w:t>Commonwealth Department of Defence, 1920, ‘Victoria, Yan Yean [cartographic material], Australia 1:63,360 topo series’ Government Printer, State Library of Victoria (SLV) Map Collection.</w:t>
      </w:r>
    </w:p>
    <w:p w14:paraId="7569ED27" w14:textId="77777777" w:rsidR="003009F2" w:rsidRPr="00536098" w:rsidRDefault="003009F2" w:rsidP="003009F2">
      <w:pPr>
        <w:rPr>
          <w:rFonts w:cs="Arial"/>
          <w:sz w:val="21"/>
          <w:szCs w:val="21"/>
        </w:rPr>
      </w:pPr>
    </w:p>
    <w:p w14:paraId="2F6A024A" w14:textId="77777777" w:rsidR="003009F2" w:rsidRPr="00536098" w:rsidRDefault="003009F2" w:rsidP="003009F2">
      <w:pPr>
        <w:rPr>
          <w:sz w:val="21"/>
          <w:szCs w:val="21"/>
        </w:rPr>
      </w:pPr>
      <w:r w:rsidRPr="00536098">
        <w:rPr>
          <w:sz w:val="21"/>
          <w:szCs w:val="21"/>
        </w:rPr>
        <w:t>Land Victoria, Certificates of Title (CT), as cited.</w:t>
      </w:r>
    </w:p>
    <w:p w14:paraId="4C074BB2" w14:textId="77777777" w:rsidR="003009F2" w:rsidRPr="00536098" w:rsidRDefault="003009F2" w:rsidP="003009F2">
      <w:pPr>
        <w:rPr>
          <w:rFonts w:cs="Arial"/>
          <w:sz w:val="21"/>
          <w:szCs w:val="21"/>
        </w:rPr>
      </w:pPr>
    </w:p>
    <w:p w14:paraId="78169BA8" w14:textId="42B75321" w:rsidR="006431EC" w:rsidRPr="00536098" w:rsidRDefault="006431EC" w:rsidP="004263CB">
      <w:pPr>
        <w:rPr>
          <w:sz w:val="21"/>
          <w:szCs w:val="21"/>
        </w:rPr>
      </w:pPr>
      <w:r w:rsidRPr="00536098">
        <w:rPr>
          <w:sz w:val="21"/>
          <w:szCs w:val="21"/>
        </w:rPr>
        <w:t>Morang Parish Plan</w:t>
      </w:r>
    </w:p>
    <w:p w14:paraId="1E46754C" w14:textId="77777777" w:rsidR="00E32503" w:rsidRPr="00536098" w:rsidRDefault="00E32503" w:rsidP="004263CB">
      <w:pPr>
        <w:rPr>
          <w:sz w:val="21"/>
          <w:szCs w:val="21"/>
        </w:rPr>
      </w:pPr>
    </w:p>
    <w:p w14:paraId="10172643" w14:textId="77777777" w:rsidR="003009F2" w:rsidRPr="00536098" w:rsidRDefault="003009F2" w:rsidP="003009F2">
      <w:pPr>
        <w:rPr>
          <w:sz w:val="21"/>
          <w:szCs w:val="21"/>
        </w:rPr>
      </w:pPr>
      <w:r w:rsidRPr="00536098">
        <w:rPr>
          <w:sz w:val="21"/>
          <w:szCs w:val="21"/>
        </w:rPr>
        <w:t xml:space="preserve">Payne, J.W. 1975, </w:t>
      </w:r>
      <w:r w:rsidRPr="00536098">
        <w:rPr>
          <w:i/>
          <w:iCs/>
          <w:sz w:val="21"/>
          <w:szCs w:val="21"/>
        </w:rPr>
        <w:t>The Plenty: A centenary history of the Whittlesea Shire</w:t>
      </w:r>
      <w:r w:rsidRPr="00536098">
        <w:rPr>
          <w:sz w:val="21"/>
          <w:szCs w:val="21"/>
        </w:rPr>
        <w:t>, Lowden Publishing, Kilmore (Vic).</w:t>
      </w:r>
    </w:p>
    <w:p w14:paraId="3A060B4F" w14:textId="77777777" w:rsidR="00E32503" w:rsidRPr="00536098" w:rsidRDefault="00E32503" w:rsidP="004263CB">
      <w:pPr>
        <w:rPr>
          <w:sz w:val="21"/>
          <w:szCs w:val="21"/>
        </w:rPr>
      </w:pPr>
    </w:p>
    <w:p w14:paraId="1B85E98E" w14:textId="77777777" w:rsidR="003009F2" w:rsidRPr="00536098" w:rsidRDefault="003009F2" w:rsidP="003009F2">
      <w:pPr>
        <w:rPr>
          <w:sz w:val="21"/>
          <w:szCs w:val="21"/>
        </w:rPr>
      </w:pPr>
      <w:r w:rsidRPr="00536098">
        <w:rPr>
          <w:sz w:val="21"/>
          <w:szCs w:val="21"/>
        </w:rPr>
        <w:t xml:space="preserve">Pearce, A, and Plenty Historical Society, 2009, </w:t>
      </w:r>
      <w:r w:rsidRPr="00536098">
        <w:rPr>
          <w:i/>
          <w:iCs/>
          <w:sz w:val="21"/>
          <w:szCs w:val="21"/>
        </w:rPr>
        <w:t>Plenty War Memorial Gates - A Short History</w:t>
      </w:r>
      <w:r w:rsidRPr="00536098">
        <w:rPr>
          <w:sz w:val="21"/>
          <w:szCs w:val="21"/>
        </w:rPr>
        <w:t>, Plenty Historical Society, Plenty (Vic).</w:t>
      </w:r>
    </w:p>
    <w:p w14:paraId="45EE8512" w14:textId="77777777" w:rsidR="006431EC" w:rsidRPr="00536098" w:rsidRDefault="006431EC" w:rsidP="004263CB">
      <w:pPr>
        <w:rPr>
          <w:rFonts w:cs="Arial"/>
          <w:sz w:val="21"/>
          <w:szCs w:val="21"/>
        </w:rPr>
      </w:pPr>
    </w:p>
    <w:p w14:paraId="3DA9E2BE" w14:textId="3BE60FBA" w:rsidR="006431EC" w:rsidRPr="00536098" w:rsidRDefault="006431EC" w:rsidP="004263CB">
      <w:pPr>
        <w:rPr>
          <w:sz w:val="21"/>
          <w:szCs w:val="21"/>
        </w:rPr>
      </w:pPr>
      <w:r w:rsidRPr="00536098">
        <w:rPr>
          <w:sz w:val="21"/>
          <w:szCs w:val="21"/>
        </w:rPr>
        <w:t>‘Plenty River Estate’ advertisement poster c1912, S</w:t>
      </w:r>
      <w:r w:rsidR="00381703" w:rsidRPr="00536098">
        <w:rPr>
          <w:sz w:val="21"/>
          <w:szCs w:val="21"/>
        </w:rPr>
        <w:t xml:space="preserve">tate </w:t>
      </w:r>
      <w:r w:rsidRPr="00536098">
        <w:rPr>
          <w:sz w:val="21"/>
          <w:szCs w:val="21"/>
        </w:rPr>
        <w:t>L</w:t>
      </w:r>
      <w:r w:rsidR="0055062C" w:rsidRPr="00536098">
        <w:rPr>
          <w:sz w:val="21"/>
          <w:szCs w:val="21"/>
        </w:rPr>
        <w:t xml:space="preserve">ibrary of </w:t>
      </w:r>
      <w:r w:rsidRPr="00536098">
        <w:rPr>
          <w:sz w:val="21"/>
          <w:szCs w:val="21"/>
        </w:rPr>
        <w:t>V</w:t>
      </w:r>
      <w:r w:rsidR="0055062C" w:rsidRPr="00536098">
        <w:rPr>
          <w:sz w:val="21"/>
          <w:szCs w:val="21"/>
        </w:rPr>
        <w:t>ictoria (SLV)</w:t>
      </w:r>
      <w:r w:rsidRPr="00536098">
        <w:rPr>
          <w:sz w:val="21"/>
          <w:szCs w:val="21"/>
        </w:rPr>
        <w:t xml:space="preserve"> </w:t>
      </w:r>
      <w:r w:rsidR="0055062C" w:rsidRPr="00536098">
        <w:rPr>
          <w:sz w:val="21"/>
          <w:szCs w:val="21"/>
        </w:rPr>
        <w:t>M</w:t>
      </w:r>
      <w:r w:rsidRPr="00536098">
        <w:rPr>
          <w:sz w:val="21"/>
          <w:szCs w:val="21"/>
        </w:rPr>
        <w:t xml:space="preserve">ap </w:t>
      </w:r>
      <w:r w:rsidR="0055062C" w:rsidRPr="00536098">
        <w:rPr>
          <w:sz w:val="21"/>
          <w:szCs w:val="21"/>
        </w:rPr>
        <w:t>C</w:t>
      </w:r>
      <w:r w:rsidRPr="00536098">
        <w:rPr>
          <w:sz w:val="21"/>
          <w:szCs w:val="21"/>
        </w:rPr>
        <w:t>ollection</w:t>
      </w:r>
    </w:p>
    <w:p w14:paraId="79934735" w14:textId="77777777" w:rsidR="006431EC" w:rsidRPr="00536098" w:rsidRDefault="006431EC" w:rsidP="004263CB">
      <w:pPr>
        <w:rPr>
          <w:sz w:val="21"/>
          <w:szCs w:val="21"/>
        </w:rPr>
      </w:pPr>
    </w:p>
    <w:p w14:paraId="1D68C35C" w14:textId="77777777" w:rsidR="00306448" w:rsidRPr="00536098" w:rsidRDefault="00306448" w:rsidP="004263CB">
      <w:pPr>
        <w:rPr>
          <w:rFonts w:cs="Arial"/>
          <w:sz w:val="21"/>
          <w:szCs w:val="21"/>
        </w:rPr>
      </w:pPr>
    </w:p>
    <w:p w14:paraId="58DF14CA" w14:textId="77777777" w:rsidR="00572DB3" w:rsidRPr="00536098" w:rsidRDefault="00572DB3" w:rsidP="00572DB3">
      <w:pPr>
        <w:rPr>
          <w:sz w:val="21"/>
          <w:szCs w:val="21"/>
        </w:rPr>
      </w:pPr>
    </w:p>
    <w:p w14:paraId="504CA048" w14:textId="77777777" w:rsidR="00572DB3" w:rsidRDefault="00572DB3" w:rsidP="004263CB">
      <w:pPr>
        <w:rPr>
          <w:rFonts w:cs="Arial"/>
          <w:sz w:val="21"/>
          <w:szCs w:val="21"/>
        </w:rPr>
      </w:pPr>
    </w:p>
    <w:p w14:paraId="0D022F6A" w14:textId="77777777" w:rsidR="003B1583" w:rsidRDefault="003B1583" w:rsidP="004263CB">
      <w:pPr>
        <w:rPr>
          <w:rFonts w:cs="Arial"/>
          <w:sz w:val="21"/>
          <w:szCs w:val="21"/>
        </w:rPr>
      </w:pPr>
    </w:p>
    <w:p w14:paraId="472A9511" w14:textId="77777777" w:rsidR="000D19AF" w:rsidRPr="00FB4871" w:rsidRDefault="000D19AF" w:rsidP="50767ADB">
      <w:pPr>
        <w:rPr>
          <w:sz w:val="21"/>
          <w:szCs w:val="21"/>
          <w:highlight w:val="yellow"/>
        </w:rPr>
      </w:pPr>
    </w:p>
    <w:p w14:paraId="762A8842" w14:textId="73C8CADB" w:rsidR="002F4AFB" w:rsidRPr="00FB4871" w:rsidRDefault="002F4AFB" w:rsidP="00FB4871">
      <w:pPr>
        <w:rPr>
          <w:sz w:val="21"/>
          <w:szCs w:val="21"/>
        </w:rPr>
      </w:pPr>
    </w:p>
    <w:sectPr w:rsidR="002F4AFB" w:rsidRPr="00FB4871" w:rsidSect="00FC7300">
      <w:headerReference w:type="default" r:id="rId18"/>
      <w:footerReference w:type="default" r:id="rId19"/>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1460A" w14:textId="77777777" w:rsidR="000B54CE" w:rsidRDefault="000B54CE">
      <w:r>
        <w:separator/>
      </w:r>
    </w:p>
  </w:endnote>
  <w:endnote w:type="continuationSeparator" w:id="0">
    <w:p w14:paraId="43553457" w14:textId="77777777" w:rsidR="000B54CE" w:rsidRDefault="000B5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474BA82F" w:rsidR="009235F4" w:rsidRDefault="009235F4">
    <w:pPr>
      <w:pStyle w:val="Footer"/>
      <w:jc w:val="center"/>
    </w:pPr>
    <w:r>
      <w:fldChar w:fldCharType="begin"/>
    </w:r>
    <w:r>
      <w:instrText xml:space="preserve"> PAGE   \* MERGEFORMAT </w:instrText>
    </w:r>
    <w:r>
      <w:fldChar w:fldCharType="separate"/>
    </w:r>
    <w:r w:rsidR="00AC7866">
      <w:rPr>
        <w:noProof/>
      </w:rPr>
      <w:t>9</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80EF6" w14:textId="77777777" w:rsidR="000B54CE" w:rsidRDefault="000B54CE">
      <w:r>
        <w:separator/>
      </w:r>
    </w:p>
  </w:footnote>
  <w:footnote w:type="continuationSeparator" w:id="0">
    <w:p w14:paraId="7ED0A488" w14:textId="77777777" w:rsidR="000B54CE" w:rsidRDefault="000B54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6E92A56B" w:rsidR="009235F4" w:rsidRPr="00A51763" w:rsidRDefault="007526CC" w:rsidP="0053253F">
    <w:pPr>
      <w:pStyle w:val="Header"/>
      <w:jc w:val="center"/>
    </w:pPr>
    <w:r>
      <w:rPr>
        <w:noProof/>
        <w:lang w:eastAsia="en-AU"/>
      </w:rPr>
      <w:drawing>
        <wp:inline distT="0" distB="0" distL="0" distR="0" wp14:anchorId="0AE0DB95" wp14:editId="16E3D447">
          <wp:extent cx="1146780" cy="7048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4929" cy="716005"/>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B0673B"/>
    <w:multiLevelType w:val="hybridMultilevel"/>
    <w:tmpl w:val="1280F744"/>
    <w:lvl w:ilvl="0" w:tplc="9DCC49A2">
      <w:numFmt w:val="bullet"/>
      <w:lvlText w:val=""/>
      <w:lvlJc w:val="left"/>
      <w:pPr>
        <w:ind w:left="1610" w:hanging="360"/>
      </w:pPr>
      <w:rPr>
        <w:rFonts w:ascii="Symbol" w:eastAsia="Symbol" w:hAnsi="Symbol" w:cs="Symbol" w:hint="default"/>
        <w:b w:val="0"/>
        <w:bCs w:val="0"/>
        <w:i w:val="0"/>
        <w:iCs w:val="0"/>
        <w:w w:val="99"/>
        <w:sz w:val="20"/>
        <w:szCs w:val="20"/>
      </w:rPr>
    </w:lvl>
    <w:lvl w:ilvl="1" w:tplc="327AD108">
      <w:numFmt w:val="bullet"/>
      <w:lvlText w:val="•"/>
      <w:lvlJc w:val="left"/>
      <w:pPr>
        <w:ind w:left="2452" w:hanging="360"/>
      </w:pPr>
      <w:rPr>
        <w:rFonts w:hint="default"/>
      </w:rPr>
    </w:lvl>
    <w:lvl w:ilvl="2" w:tplc="D5EA08EA">
      <w:numFmt w:val="bullet"/>
      <w:lvlText w:val="•"/>
      <w:lvlJc w:val="left"/>
      <w:pPr>
        <w:ind w:left="3285" w:hanging="360"/>
      </w:pPr>
      <w:rPr>
        <w:rFonts w:hint="default"/>
      </w:rPr>
    </w:lvl>
    <w:lvl w:ilvl="3" w:tplc="474245E2">
      <w:numFmt w:val="bullet"/>
      <w:lvlText w:val="•"/>
      <w:lvlJc w:val="left"/>
      <w:pPr>
        <w:ind w:left="4117" w:hanging="360"/>
      </w:pPr>
      <w:rPr>
        <w:rFonts w:hint="default"/>
      </w:rPr>
    </w:lvl>
    <w:lvl w:ilvl="4" w:tplc="68FC2D70">
      <w:numFmt w:val="bullet"/>
      <w:lvlText w:val="•"/>
      <w:lvlJc w:val="left"/>
      <w:pPr>
        <w:ind w:left="4950" w:hanging="360"/>
      </w:pPr>
      <w:rPr>
        <w:rFonts w:hint="default"/>
      </w:rPr>
    </w:lvl>
    <w:lvl w:ilvl="5" w:tplc="8DB252D4">
      <w:numFmt w:val="bullet"/>
      <w:lvlText w:val="•"/>
      <w:lvlJc w:val="left"/>
      <w:pPr>
        <w:ind w:left="5782" w:hanging="360"/>
      </w:pPr>
      <w:rPr>
        <w:rFonts w:hint="default"/>
      </w:rPr>
    </w:lvl>
    <w:lvl w:ilvl="6" w:tplc="12548B3C">
      <w:numFmt w:val="bullet"/>
      <w:lvlText w:val="•"/>
      <w:lvlJc w:val="left"/>
      <w:pPr>
        <w:ind w:left="6615" w:hanging="360"/>
      </w:pPr>
      <w:rPr>
        <w:rFonts w:hint="default"/>
      </w:rPr>
    </w:lvl>
    <w:lvl w:ilvl="7" w:tplc="0C765F3E">
      <w:numFmt w:val="bullet"/>
      <w:lvlText w:val="•"/>
      <w:lvlJc w:val="left"/>
      <w:pPr>
        <w:ind w:left="7447" w:hanging="360"/>
      </w:pPr>
      <w:rPr>
        <w:rFonts w:hint="default"/>
      </w:rPr>
    </w:lvl>
    <w:lvl w:ilvl="8" w:tplc="334E8EAE">
      <w:numFmt w:val="bullet"/>
      <w:lvlText w:val="•"/>
      <w:lvlJc w:val="left"/>
      <w:pPr>
        <w:ind w:left="8280" w:hanging="360"/>
      </w:pPr>
      <w:rPr>
        <w:rFonts w:hint="default"/>
      </w:rPr>
    </w:lvl>
  </w:abstractNum>
  <w:abstractNum w:abstractNumId="1" w15:restartNumberingAfterBreak="0">
    <w:nsid w:val="54767648"/>
    <w:multiLevelType w:val="hybridMultilevel"/>
    <w:tmpl w:val="1AEAE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6136EE9"/>
    <w:multiLevelType w:val="hybridMultilevel"/>
    <w:tmpl w:val="4796A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079E1"/>
    <w:rsid w:val="000122AD"/>
    <w:rsid w:val="00014192"/>
    <w:rsid w:val="000154DD"/>
    <w:rsid w:val="000226FB"/>
    <w:rsid w:val="000229F2"/>
    <w:rsid w:val="00022F3C"/>
    <w:rsid w:val="000262DF"/>
    <w:rsid w:val="000322B2"/>
    <w:rsid w:val="00033575"/>
    <w:rsid w:val="000335CF"/>
    <w:rsid w:val="00035200"/>
    <w:rsid w:val="00037D0F"/>
    <w:rsid w:val="0004013E"/>
    <w:rsid w:val="000414F2"/>
    <w:rsid w:val="000456A1"/>
    <w:rsid w:val="00053945"/>
    <w:rsid w:val="000545A0"/>
    <w:rsid w:val="00057B39"/>
    <w:rsid w:val="00062324"/>
    <w:rsid w:val="00062C40"/>
    <w:rsid w:val="000648FC"/>
    <w:rsid w:val="00066DD5"/>
    <w:rsid w:val="0006743D"/>
    <w:rsid w:val="0007320A"/>
    <w:rsid w:val="0007515A"/>
    <w:rsid w:val="0007686E"/>
    <w:rsid w:val="00086C17"/>
    <w:rsid w:val="00095D56"/>
    <w:rsid w:val="000A2BD2"/>
    <w:rsid w:val="000A39ED"/>
    <w:rsid w:val="000A6A88"/>
    <w:rsid w:val="000A7362"/>
    <w:rsid w:val="000B2818"/>
    <w:rsid w:val="000B54CE"/>
    <w:rsid w:val="000C4F37"/>
    <w:rsid w:val="000C7A77"/>
    <w:rsid w:val="000D062C"/>
    <w:rsid w:val="000D19AF"/>
    <w:rsid w:val="000D40FF"/>
    <w:rsid w:val="000D4813"/>
    <w:rsid w:val="000D49CE"/>
    <w:rsid w:val="000E04DA"/>
    <w:rsid w:val="000E227D"/>
    <w:rsid w:val="000E51B0"/>
    <w:rsid w:val="000E6362"/>
    <w:rsid w:val="000E6D08"/>
    <w:rsid w:val="000F16D2"/>
    <w:rsid w:val="000F3F6D"/>
    <w:rsid w:val="001028A3"/>
    <w:rsid w:val="0010333E"/>
    <w:rsid w:val="0010386C"/>
    <w:rsid w:val="00103D51"/>
    <w:rsid w:val="0010458D"/>
    <w:rsid w:val="00104F1F"/>
    <w:rsid w:val="00111C16"/>
    <w:rsid w:val="00112879"/>
    <w:rsid w:val="00115123"/>
    <w:rsid w:val="00127E5E"/>
    <w:rsid w:val="0013394E"/>
    <w:rsid w:val="00134A6C"/>
    <w:rsid w:val="001364B0"/>
    <w:rsid w:val="001373DF"/>
    <w:rsid w:val="0013749C"/>
    <w:rsid w:val="00137F73"/>
    <w:rsid w:val="00146906"/>
    <w:rsid w:val="001469BB"/>
    <w:rsid w:val="00146CC2"/>
    <w:rsid w:val="001517D4"/>
    <w:rsid w:val="001603AF"/>
    <w:rsid w:val="001612CB"/>
    <w:rsid w:val="00162367"/>
    <w:rsid w:val="00163F52"/>
    <w:rsid w:val="00170B32"/>
    <w:rsid w:val="0017319C"/>
    <w:rsid w:val="001751E8"/>
    <w:rsid w:val="001823E3"/>
    <w:rsid w:val="0018446B"/>
    <w:rsid w:val="00184A7C"/>
    <w:rsid w:val="0018523F"/>
    <w:rsid w:val="001855EB"/>
    <w:rsid w:val="001A416F"/>
    <w:rsid w:val="001A52D1"/>
    <w:rsid w:val="001A7000"/>
    <w:rsid w:val="001B089C"/>
    <w:rsid w:val="001B0F67"/>
    <w:rsid w:val="001B23A1"/>
    <w:rsid w:val="001B247A"/>
    <w:rsid w:val="001B3D25"/>
    <w:rsid w:val="001C1CE5"/>
    <w:rsid w:val="001C2B42"/>
    <w:rsid w:val="001C4476"/>
    <w:rsid w:val="001C6550"/>
    <w:rsid w:val="001D116F"/>
    <w:rsid w:val="001D272A"/>
    <w:rsid w:val="001D4F49"/>
    <w:rsid w:val="001D510A"/>
    <w:rsid w:val="001D69F4"/>
    <w:rsid w:val="001D6FC0"/>
    <w:rsid w:val="001D7026"/>
    <w:rsid w:val="001D71DB"/>
    <w:rsid w:val="001E3CC7"/>
    <w:rsid w:val="001E3DB8"/>
    <w:rsid w:val="001E3ECE"/>
    <w:rsid w:val="001E3FAF"/>
    <w:rsid w:val="001E5E3B"/>
    <w:rsid w:val="001F0DB7"/>
    <w:rsid w:val="001F1FC1"/>
    <w:rsid w:val="001F3C2D"/>
    <w:rsid w:val="001F7884"/>
    <w:rsid w:val="002017C8"/>
    <w:rsid w:val="00201D55"/>
    <w:rsid w:val="0020344C"/>
    <w:rsid w:val="00213BDD"/>
    <w:rsid w:val="00216E13"/>
    <w:rsid w:val="002347C3"/>
    <w:rsid w:val="00235A3E"/>
    <w:rsid w:val="00236017"/>
    <w:rsid w:val="00240069"/>
    <w:rsid w:val="00243455"/>
    <w:rsid w:val="0024366A"/>
    <w:rsid w:val="002501CA"/>
    <w:rsid w:val="00252F73"/>
    <w:rsid w:val="002540D5"/>
    <w:rsid w:val="00260939"/>
    <w:rsid w:val="00264859"/>
    <w:rsid w:val="0027464D"/>
    <w:rsid w:val="00275696"/>
    <w:rsid w:val="00284B92"/>
    <w:rsid w:val="002878FB"/>
    <w:rsid w:val="00292A40"/>
    <w:rsid w:val="002946A1"/>
    <w:rsid w:val="00297D7A"/>
    <w:rsid w:val="00297D9F"/>
    <w:rsid w:val="002A0331"/>
    <w:rsid w:val="002A0351"/>
    <w:rsid w:val="002A1475"/>
    <w:rsid w:val="002A1E80"/>
    <w:rsid w:val="002A440A"/>
    <w:rsid w:val="002A461F"/>
    <w:rsid w:val="002B0C04"/>
    <w:rsid w:val="002B26CE"/>
    <w:rsid w:val="002B3495"/>
    <w:rsid w:val="002B4BEC"/>
    <w:rsid w:val="002B4D7C"/>
    <w:rsid w:val="002B50F8"/>
    <w:rsid w:val="002B7137"/>
    <w:rsid w:val="002C156F"/>
    <w:rsid w:val="002C563B"/>
    <w:rsid w:val="002C7ACC"/>
    <w:rsid w:val="002E22D2"/>
    <w:rsid w:val="002E26FD"/>
    <w:rsid w:val="002E4720"/>
    <w:rsid w:val="002E6BFA"/>
    <w:rsid w:val="002F4AFB"/>
    <w:rsid w:val="002F71CD"/>
    <w:rsid w:val="003009F2"/>
    <w:rsid w:val="00300E99"/>
    <w:rsid w:val="0030201F"/>
    <w:rsid w:val="00304154"/>
    <w:rsid w:val="00304CCC"/>
    <w:rsid w:val="0030501C"/>
    <w:rsid w:val="00306448"/>
    <w:rsid w:val="00307380"/>
    <w:rsid w:val="00310FFD"/>
    <w:rsid w:val="0031331E"/>
    <w:rsid w:val="00315229"/>
    <w:rsid w:val="0032362F"/>
    <w:rsid w:val="00323AE8"/>
    <w:rsid w:val="003242D8"/>
    <w:rsid w:val="0032513D"/>
    <w:rsid w:val="00332D75"/>
    <w:rsid w:val="00332DD0"/>
    <w:rsid w:val="00333594"/>
    <w:rsid w:val="00335ECB"/>
    <w:rsid w:val="00336725"/>
    <w:rsid w:val="00337350"/>
    <w:rsid w:val="00337D9F"/>
    <w:rsid w:val="0034371D"/>
    <w:rsid w:val="0034382D"/>
    <w:rsid w:val="00344D5E"/>
    <w:rsid w:val="00345332"/>
    <w:rsid w:val="0034714B"/>
    <w:rsid w:val="003511D4"/>
    <w:rsid w:val="00351787"/>
    <w:rsid w:val="0035305E"/>
    <w:rsid w:val="0035661D"/>
    <w:rsid w:val="00362C82"/>
    <w:rsid w:val="00363791"/>
    <w:rsid w:val="003678AB"/>
    <w:rsid w:val="00371911"/>
    <w:rsid w:val="00372CD8"/>
    <w:rsid w:val="00374236"/>
    <w:rsid w:val="00374BF0"/>
    <w:rsid w:val="00380E05"/>
    <w:rsid w:val="00381703"/>
    <w:rsid w:val="00381DD7"/>
    <w:rsid w:val="003820FD"/>
    <w:rsid w:val="003900F2"/>
    <w:rsid w:val="00390186"/>
    <w:rsid w:val="003921F6"/>
    <w:rsid w:val="00394406"/>
    <w:rsid w:val="003948CB"/>
    <w:rsid w:val="00395133"/>
    <w:rsid w:val="00397BAE"/>
    <w:rsid w:val="003A0EF9"/>
    <w:rsid w:val="003A0F2A"/>
    <w:rsid w:val="003A3D4C"/>
    <w:rsid w:val="003A59E2"/>
    <w:rsid w:val="003B1583"/>
    <w:rsid w:val="003B1870"/>
    <w:rsid w:val="003B2A7D"/>
    <w:rsid w:val="003C0FF4"/>
    <w:rsid w:val="003C2ECF"/>
    <w:rsid w:val="003D39C2"/>
    <w:rsid w:val="003D3FB1"/>
    <w:rsid w:val="003E0985"/>
    <w:rsid w:val="003F1C4C"/>
    <w:rsid w:val="003F4991"/>
    <w:rsid w:val="003F57F8"/>
    <w:rsid w:val="003F61A1"/>
    <w:rsid w:val="004004A2"/>
    <w:rsid w:val="00402BEB"/>
    <w:rsid w:val="00410215"/>
    <w:rsid w:val="00415853"/>
    <w:rsid w:val="00420816"/>
    <w:rsid w:val="00421AD3"/>
    <w:rsid w:val="00422F1A"/>
    <w:rsid w:val="004244F0"/>
    <w:rsid w:val="004263CB"/>
    <w:rsid w:val="00426DDD"/>
    <w:rsid w:val="00437685"/>
    <w:rsid w:val="004417BF"/>
    <w:rsid w:val="00445723"/>
    <w:rsid w:val="00451295"/>
    <w:rsid w:val="00453C82"/>
    <w:rsid w:val="0046299C"/>
    <w:rsid w:val="004634C9"/>
    <w:rsid w:val="00465000"/>
    <w:rsid w:val="00466A80"/>
    <w:rsid w:val="004701D3"/>
    <w:rsid w:val="00471CA3"/>
    <w:rsid w:val="004757A3"/>
    <w:rsid w:val="00475B52"/>
    <w:rsid w:val="00475F0D"/>
    <w:rsid w:val="00476453"/>
    <w:rsid w:val="00476FCE"/>
    <w:rsid w:val="0048153F"/>
    <w:rsid w:val="0048206A"/>
    <w:rsid w:val="00484C3E"/>
    <w:rsid w:val="00487EC6"/>
    <w:rsid w:val="00492AB4"/>
    <w:rsid w:val="0049683D"/>
    <w:rsid w:val="00497926"/>
    <w:rsid w:val="004A0B81"/>
    <w:rsid w:val="004A1E45"/>
    <w:rsid w:val="004A296B"/>
    <w:rsid w:val="004A621D"/>
    <w:rsid w:val="004A6FE1"/>
    <w:rsid w:val="004B2433"/>
    <w:rsid w:val="004B3D4D"/>
    <w:rsid w:val="004B5908"/>
    <w:rsid w:val="004B60E0"/>
    <w:rsid w:val="004B7233"/>
    <w:rsid w:val="004C04FB"/>
    <w:rsid w:val="004C33E4"/>
    <w:rsid w:val="004D14F8"/>
    <w:rsid w:val="004D16A3"/>
    <w:rsid w:val="004D4049"/>
    <w:rsid w:val="004D7B60"/>
    <w:rsid w:val="004E0E90"/>
    <w:rsid w:val="004E35D7"/>
    <w:rsid w:val="004E3C0E"/>
    <w:rsid w:val="004E6328"/>
    <w:rsid w:val="004F0E0A"/>
    <w:rsid w:val="004F1436"/>
    <w:rsid w:val="004F1652"/>
    <w:rsid w:val="004F1FAC"/>
    <w:rsid w:val="004F2199"/>
    <w:rsid w:val="004F2AF5"/>
    <w:rsid w:val="004F3DCE"/>
    <w:rsid w:val="004F444B"/>
    <w:rsid w:val="00501C0F"/>
    <w:rsid w:val="0050351B"/>
    <w:rsid w:val="00507D65"/>
    <w:rsid w:val="00510634"/>
    <w:rsid w:val="00512F4B"/>
    <w:rsid w:val="00513AD5"/>
    <w:rsid w:val="0051478E"/>
    <w:rsid w:val="00514912"/>
    <w:rsid w:val="00516854"/>
    <w:rsid w:val="00517930"/>
    <w:rsid w:val="00522474"/>
    <w:rsid w:val="005271A5"/>
    <w:rsid w:val="0053253F"/>
    <w:rsid w:val="00533111"/>
    <w:rsid w:val="00533CF2"/>
    <w:rsid w:val="005342AA"/>
    <w:rsid w:val="00536098"/>
    <w:rsid w:val="00541D35"/>
    <w:rsid w:val="0054679B"/>
    <w:rsid w:val="005504C9"/>
    <w:rsid w:val="0055062C"/>
    <w:rsid w:val="00552E36"/>
    <w:rsid w:val="005546C8"/>
    <w:rsid w:val="00555263"/>
    <w:rsid w:val="0055729F"/>
    <w:rsid w:val="005676C0"/>
    <w:rsid w:val="005723D5"/>
    <w:rsid w:val="0057287B"/>
    <w:rsid w:val="00572DB3"/>
    <w:rsid w:val="00575C32"/>
    <w:rsid w:val="00577506"/>
    <w:rsid w:val="00580661"/>
    <w:rsid w:val="00580836"/>
    <w:rsid w:val="00580998"/>
    <w:rsid w:val="00581804"/>
    <w:rsid w:val="0058183A"/>
    <w:rsid w:val="00585139"/>
    <w:rsid w:val="00585405"/>
    <w:rsid w:val="005873B1"/>
    <w:rsid w:val="00592039"/>
    <w:rsid w:val="0059391E"/>
    <w:rsid w:val="005967D0"/>
    <w:rsid w:val="005A10C5"/>
    <w:rsid w:val="005A3522"/>
    <w:rsid w:val="005A6F8A"/>
    <w:rsid w:val="005B178D"/>
    <w:rsid w:val="005B1FCA"/>
    <w:rsid w:val="005B2A19"/>
    <w:rsid w:val="005B320C"/>
    <w:rsid w:val="005B5100"/>
    <w:rsid w:val="005C3752"/>
    <w:rsid w:val="005C438E"/>
    <w:rsid w:val="005C4B3F"/>
    <w:rsid w:val="005C5B35"/>
    <w:rsid w:val="005C7F9E"/>
    <w:rsid w:val="005D1278"/>
    <w:rsid w:val="005D26D9"/>
    <w:rsid w:val="005E0BB7"/>
    <w:rsid w:val="00602D7F"/>
    <w:rsid w:val="00603A7F"/>
    <w:rsid w:val="0061008A"/>
    <w:rsid w:val="00621276"/>
    <w:rsid w:val="006325E7"/>
    <w:rsid w:val="0063364C"/>
    <w:rsid w:val="00633BD6"/>
    <w:rsid w:val="00634337"/>
    <w:rsid w:val="006350C0"/>
    <w:rsid w:val="0063627A"/>
    <w:rsid w:val="006431EC"/>
    <w:rsid w:val="00643D69"/>
    <w:rsid w:val="00644E77"/>
    <w:rsid w:val="00646E3F"/>
    <w:rsid w:val="00647D91"/>
    <w:rsid w:val="006522AD"/>
    <w:rsid w:val="006579DA"/>
    <w:rsid w:val="00657A60"/>
    <w:rsid w:val="00666D34"/>
    <w:rsid w:val="00675A5A"/>
    <w:rsid w:val="006763E3"/>
    <w:rsid w:val="00677EF1"/>
    <w:rsid w:val="0068052E"/>
    <w:rsid w:val="00682F49"/>
    <w:rsid w:val="006855A7"/>
    <w:rsid w:val="0068682F"/>
    <w:rsid w:val="00690074"/>
    <w:rsid w:val="00692627"/>
    <w:rsid w:val="00692B0B"/>
    <w:rsid w:val="006943A6"/>
    <w:rsid w:val="0069715D"/>
    <w:rsid w:val="006A317F"/>
    <w:rsid w:val="006A4478"/>
    <w:rsid w:val="006A4B2A"/>
    <w:rsid w:val="006A5927"/>
    <w:rsid w:val="006B0F59"/>
    <w:rsid w:val="006B1B89"/>
    <w:rsid w:val="006C294B"/>
    <w:rsid w:val="006C4865"/>
    <w:rsid w:val="006C621E"/>
    <w:rsid w:val="006C7983"/>
    <w:rsid w:val="006D0D41"/>
    <w:rsid w:val="006E00FE"/>
    <w:rsid w:val="006E17E9"/>
    <w:rsid w:val="006E66C5"/>
    <w:rsid w:val="006E7343"/>
    <w:rsid w:val="006F28DB"/>
    <w:rsid w:val="006F3417"/>
    <w:rsid w:val="006F4068"/>
    <w:rsid w:val="006F522F"/>
    <w:rsid w:val="006F6661"/>
    <w:rsid w:val="006F6810"/>
    <w:rsid w:val="006F7099"/>
    <w:rsid w:val="006F7909"/>
    <w:rsid w:val="007007B0"/>
    <w:rsid w:val="0070572E"/>
    <w:rsid w:val="00710788"/>
    <w:rsid w:val="00710F60"/>
    <w:rsid w:val="00713128"/>
    <w:rsid w:val="007256FF"/>
    <w:rsid w:val="00734738"/>
    <w:rsid w:val="0073603D"/>
    <w:rsid w:val="00736CCA"/>
    <w:rsid w:val="007414A0"/>
    <w:rsid w:val="00746AC1"/>
    <w:rsid w:val="007526CC"/>
    <w:rsid w:val="00754146"/>
    <w:rsid w:val="00755CEE"/>
    <w:rsid w:val="00757C46"/>
    <w:rsid w:val="0076291B"/>
    <w:rsid w:val="00765B49"/>
    <w:rsid w:val="00771A65"/>
    <w:rsid w:val="00771DBD"/>
    <w:rsid w:val="00772376"/>
    <w:rsid w:val="0077368D"/>
    <w:rsid w:val="00773C21"/>
    <w:rsid w:val="007758F8"/>
    <w:rsid w:val="0078667A"/>
    <w:rsid w:val="007A044E"/>
    <w:rsid w:val="007A0BFE"/>
    <w:rsid w:val="007A6927"/>
    <w:rsid w:val="007A741B"/>
    <w:rsid w:val="007A7A1F"/>
    <w:rsid w:val="007A7ECE"/>
    <w:rsid w:val="007B3068"/>
    <w:rsid w:val="007B7CCE"/>
    <w:rsid w:val="007C71A3"/>
    <w:rsid w:val="007D2A20"/>
    <w:rsid w:val="007D3802"/>
    <w:rsid w:val="007E0147"/>
    <w:rsid w:val="007E2716"/>
    <w:rsid w:val="007E3D3F"/>
    <w:rsid w:val="007E4510"/>
    <w:rsid w:val="007E5719"/>
    <w:rsid w:val="007F6D0A"/>
    <w:rsid w:val="008056A1"/>
    <w:rsid w:val="00806B85"/>
    <w:rsid w:val="0081123F"/>
    <w:rsid w:val="00812DF6"/>
    <w:rsid w:val="0081750F"/>
    <w:rsid w:val="008233B2"/>
    <w:rsid w:val="00824D69"/>
    <w:rsid w:val="00827462"/>
    <w:rsid w:val="00827F9F"/>
    <w:rsid w:val="00831F05"/>
    <w:rsid w:val="0083304E"/>
    <w:rsid w:val="00834203"/>
    <w:rsid w:val="00842310"/>
    <w:rsid w:val="008432A7"/>
    <w:rsid w:val="00847217"/>
    <w:rsid w:val="008502FE"/>
    <w:rsid w:val="0085169F"/>
    <w:rsid w:val="00856004"/>
    <w:rsid w:val="00856C87"/>
    <w:rsid w:val="00857AAE"/>
    <w:rsid w:val="008618F1"/>
    <w:rsid w:val="00867F32"/>
    <w:rsid w:val="00871AD2"/>
    <w:rsid w:val="00873B0B"/>
    <w:rsid w:val="0087520F"/>
    <w:rsid w:val="0087750F"/>
    <w:rsid w:val="00880487"/>
    <w:rsid w:val="008832BA"/>
    <w:rsid w:val="0088331B"/>
    <w:rsid w:val="00886778"/>
    <w:rsid w:val="00890C5B"/>
    <w:rsid w:val="00894C12"/>
    <w:rsid w:val="0089580F"/>
    <w:rsid w:val="00896EBA"/>
    <w:rsid w:val="008A6E56"/>
    <w:rsid w:val="008D4C51"/>
    <w:rsid w:val="008D4F9E"/>
    <w:rsid w:val="008D615C"/>
    <w:rsid w:val="008E1066"/>
    <w:rsid w:val="008E1C33"/>
    <w:rsid w:val="008F12BE"/>
    <w:rsid w:val="00901985"/>
    <w:rsid w:val="009025B4"/>
    <w:rsid w:val="00906717"/>
    <w:rsid w:val="009213EA"/>
    <w:rsid w:val="00921875"/>
    <w:rsid w:val="009235F4"/>
    <w:rsid w:val="0092504C"/>
    <w:rsid w:val="0092631A"/>
    <w:rsid w:val="009278BE"/>
    <w:rsid w:val="00932B44"/>
    <w:rsid w:val="00932E8E"/>
    <w:rsid w:val="00935F75"/>
    <w:rsid w:val="00940CF0"/>
    <w:rsid w:val="00943E1D"/>
    <w:rsid w:val="009473AD"/>
    <w:rsid w:val="00950575"/>
    <w:rsid w:val="00952EB5"/>
    <w:rsid w:val="00953F2F"/>
    <w:rsid w:val="00955B5A"/>
    <w:rsid w:val="00955EF9"/>
    <w:rsid w:val="009661BE"/>
    <w:rsid w:val="00972D25"/>
    <w:rsid w:val="0097323F"/>
    <w:rsid w:val="00973A59"/>
    <w:rsid w:val="0097558C"/>
    <w:rsid w:val="009804FE"/>
    <w:rsid w:val="00982237"/>
    <w:rsid w:val="009831FC"/>
    <w:rsid w:val="00985A59"/>
    <w:rsid w:val="0099113F"/>
    <w:rsid w:val="009968E0"/>
    <w:rsid w:val="009A1DFD"/>
    <w:rsid w:val="009B29BC"/>
    <w:rsid w:val="009B5289"/>
    <w:rsid w:val="009B7208"/>
    <w:rsid w:val="009B79C2"/>
    <w:rsid w:val="009C1679"/>
    <w:rsid w:val="009C31D5"/>
    <w:rsid w:val="009C5413"/>
    <w:rsid w:val="009C5830"/>
    <w:rsid w:val="009C66C4"/>
    <w:rsid w:val="009D1401"/>
    <w:rsid w:val="009D4008"/>
    <w:rsid w:val="009D77D6"/>
    <w:rsid w:val="009E49BA"/>
    <w:rsid w:val="009F4C2B"/>
    <w:rsid w:val="009F6C0C"/>
    <w:rsid w:val="00A0352A"/>
    <w:rsid w:val="00A03A13"/>
    <w:rsid w:val="00A06286"/>
    <w:rsid w:val="00A0660D"/>
    <w:rsid w:val="00A06A85"/>
    <w:rsid w:val="00A074EB"/>
    <w:rsid w:val="00A11117"/>
    <w:rsid w:val="00A11BBE"/>
    <w:rsid w:val="00A2027A"/>
    <w:rsid w:val="00A23DFA"/>
    <w:rsid w:val="00A2579A"/>
    <w:rsid w:val="00A2643E"/>
    <w:rsid w:val="00A2700F"/>
    <w:rsid w:val="00A30183"/>
    <w:rsid w:val="00A30E7B"/>
    <w:rsid w:val="00A325A6"/>
    <w:rsid w:val="00A34E9B"/>
    <w:rsid w:val="00A37780"/>
    <w:rsid w:val="00A3788B"/>
    <w:rsid w:val="00A40315"/>
    <w:rsid w:val="00A443BF"/>
    <w:rsid w:val="00A446AA"/>
    <w:rsid w:val="00A44BDC"/>
    <w:rsid w:val="00A47DD2"/>
    <w:rsid w:val="00A50CD7"/>
    <w:rsid w:val="00A51763"/>
    <w:rsid w:val="00A550D6"/>
    <w:rsid w:val="00A626FD"/>
    <w:rsid w:val="00A638D6"/>
    <w:rsid w:val="00A67C66"/>
    <w:rsid w:val="00A70178"/>
    <w:rsid w:val="00A71133"/>
    <w:rsid w:val="00A765A2"/>
    <w:rsid w:val="00A82187"/>
    <w:rsid w:val="00A83DA8"/>
    <w:rsid w:val="00A87ACF"/>
    <w:rsid w:val="00A908BD"/>
    <w:rsid w:val="00A95D8A"/>
    <w:rsid w:val="00AA0DC1"/>
    <w:rsid w:val="00AA2B0C"/>
    <w:rsid w:val="00AA6B2C"/>
    <w:rsid w:val="00AB2579"/>
    <w:rsid w:val="00AB313E"/>
    <w:rsid w:val="00AB342F"/>
    <w:rsid w:val="00AB410D"/>
    <w:rsid w:val="00AB69E8"/>
    <w:rsid w:val="00AB79E9"/>
    <w:rsid w:val="00AC11D0"/>
    <w:rsid w:val="00AC16DE"/>
    <w:rsid w:val="00AC1E03"/>
    <w:rsid w:val="00AC761D"/>
    <w:rsid w:val="00AC7866"/>
    <w:rsid w:val="00AD3947"/>
    <w:rsid w:val="00AD656E"/>
    <w:rsid w:val="00AE2D68"/>
    <w:rsid w:val="00AE582B"/>
    <w:rsid w:val="00AE7A2E"/>
    <w:rsid w:val="00AF0433"/>
    <w:rsid w:val="00AF2168"/>
    <w:rsid w:val="00AF2C2E"/>
    <w:rsid w:val="00B009DC"/>
    <w:rsid w:val="00B03515"/>
    <w:rsid w:val="00B045F8"/>
    <w:rsid w:val="00B064ED"/>
    <w:rsid w:val="00B17B59"/>
    <w:rsid w:val="00B20236"/>
    <w:rsid w:val="00B20333"/>
    <w:rsid w:val="00B23219"/>
    <w:rsid w:val="00B30A82"/>
    <w:rsid w:val="00B317D8"/>
    <w:rsid w:val="00B31C37"/>
    <w:rsid w:val="00B32D49"/>
    <w:rsid w:val="00B435E4"/>
    <w:rsid w:val="00B4450C"/>
    <w:rsid w:val="00B46E5F"/>
    <w:rsid w:val="00B61434"/>
    <w:rsid w:val="00B6272B"/>
    <w:rsid w:val="00B63B7C"/>
    <w:rsid w:val="00B65D07"/>
    <w:rsid w:val="00B712CE"/>
    <w:rsid w:val="00B77EF4"/>
    <w:rsid w:val="00B80D58"/>
    <w:rsid w:val="00B80EEA"/>
    <w:rsid w:val="00B80FF3"/>
    <w:rsid w:val="00B83014"/>
    <w:rsid w:val="00B9089C"/>
    <w:rsid w:val="00B9581B"/>
    <w:rsid w:val="00B9734A"/>
    <w:rsid w:val="00B97863"/>
    <w:rsid w:val="00BB135B"/>
    <w:rsid w:val="00BC06C3"/>
    <w:rsid w:val="00BC25C2"/>
    <w:rsid w:val="00BC28F8"/>
    <w:rsid w:val="00BC34EC"/>
    <w:rsid w:val="00BC4718"/>
    <w:rsid w:val="00BD00A7"/>
    <w:rsid w:val="00BD08EE"/>
    <w:rsid w:val="00BD1094"/>
    <w:rsid w:val="00BD6ADE"/>
    <w:rsid w:val="00BD74C9"/>
    <w:rsid w:val="00BE1C80"/>
    <w:rsid w:val="00BE70BE"/>
    <w:rsid w:val="00BF1405"/>
    <w:rsid w:val="00BF6A9B"/>
    <w:rsid w:val="00C0545E"/>
    <w:rsid w:val="00C0609B"/>
    <w:rsid w:val="00C072D6"/>
    <w:rsid w:val="00C12905"/>
    <w:rsid w:val="00C20CE6"/>
    <w:rsid w:val="00C20D8B"/>
    <w:rsid w:val="00C22F08"/>
    <w:rsid w:val="00C23F0A"/>
    <w:rsid w:val="00C2601D"/>
    <w:rsid w:val="00C31DE8"/>
    <w:rsid w:val="00C32B67"/>
    <w:rsid w:val="00C32BB6"/>
    <w:rsid w:val="00C33781"/>
    <w:rsid w:val="00C34049"/>
    <w:rsid w:val="00C34901"/>
    <w:rsid w:val="00C3798F"/>
    <w:rsid w:val="00C44AE3"/>
    <w:rsid w:val="00C517B8"/>
    <w:rsid w:val="00C52598"/>
    <w:rsid w:val="00C53A3F"/>
    <w:rsid w:val="00C622B5"/>
    <w:rsid w:val="00C6430C"/>
    <w:rsid w:val="00C71260"/>
    <w:rsid w:val="00C734F3"/>
    <w:rsid w:val="00C75447"/>
    <w:rsid w:val="00C771E0"/>
    <w:rsid w:val="00C85C2C"/>
    <w:rsid w:val="00C86C9D"/>
    <w:rsid w:val="00C87500"/>
    <w:rsid w:val="00C93F6B"/>
    <w:rsid w:val="00C94378"/>
    <w:rsid w:val="00CA0CD4"/>
    <w:rsid w:val="00CA1185"/>
    <w:rsid w:val="00CA1C83"/>
    <w:rsid w:val="00CA35AC"/>
    <w:rsid w:val="00CA52EE"/>
    <w:rsid w:val="00CB0580"/>
    <w:rsid w:val="00CC03E6"/>
    <w:rsid w:val="00CC4AED"/>
    <w:rsid w:val="00CC65EF"/>
    <w:rsid w:val="00CC6CB0"/>
    <w:rsid w:val="00CC739E"/>
    <w:rsid w:val="00CC798F"/>
    <w:rsid w:val="00CD115E"/>
    <w:rsid w:val="00CD11DA"/>
    <w:rsid w:val="00CD1F7B"/>
    <w:rsid w:val="00CD2250"/>
    <w:rsid w:val="00CD4B20"/>
    <w:rsid w:val="00CD70DA"/>
    <w:rsid w:val="00CE207F"/>
    <w:rsid w:val="00CF529E"/>
    <w:rsid w:val="00D00A0D"/>
    <w:rsid w:val="00D06B56"/>
    <w:rsid w:val="00D07518"/>
    <w:rsid w:val="00D12639"/>
    <w:rsid w:val="00D13815"/>
    <w:rsid w:val="00D153A4"/>
    <w:rsid w:val="00D170EA"/>
    <w:rsid w:val="00D2332B"/>
    <w:rsid w:val="00D23944"/>
    <w:rsid w:val="00D25BFC"/>
    <w:rsid w:val="00D2727A"/>
    <w:rsid w:val="00D33851"/>
    <w:rsid w:val="00D33FFE"/>
    <w:rsid w:val="00D355A0"/>
    <w:rsid w:val="00D378A9"/>
    <w:rsid w:val="00D415A7"/>
    <w:rsid w:val="00D445FC"/>
    <w:rsid w:val="00D46A9F"/>
    <w:rsid w:val="00D56845"/>
    <w:rsid w:val="00D606F4"/>
    <w:rsid w:val="00D614E4"/>
    <w:rsid w:val="00D6159E"/>
    <w:rsid w:val="00D74368"/>
    <w:rsid w:val="00D7532A"/>
    <w:rsid w:val="00D75850"/>
    <w:rsid w:val="00D9004F"/>
    <w:rsid w:val="00D90DF9"/>
    <w:rsid w:val="00D92CFF"/>
    <w:rsid w:val="00D9610E"/>
    <w:rsid w:val="00DA021A"/>
    <w:rsid w:val="00DA635F"/>
    <w:rsid w:val="00DA6CDA"/>
    <w:rsid w:val="00DB2CEC"/>
    <w:rsid w:val="00DB3CD6"/>
    <w:rsid w:val="00DB74F6"/>
    <w:rsid w:val="00DC1F4D"/>
    <w:rsid w:val="00DC38C0"/>
    <w:rsid w:val="00DC40F3"/>
    <w:rsid w:val="00DC4E68"/>
    <w:rsid w:val="00DC6A9D"/>
    <w:rsid w:val="00DD39F8"/>
    <w:rsid w:val="00DD7852"/>
    <w:rsid w:val="00DE0308"/>
    <w:rsid w:val="00DE6267"/>
    <w:rsid w:val="00DF27BE"/>
    <w:rsid w:val="00DF3EC0"/>
    <w:rsid w:val="00DF3F21"/>
    <w:rsid w:val="00DF45F6"/>
    <w:rsid w:val="00DF45FC"/>
    <w:rsid w:val="00E0419F"/>
    <w:rsid w:val="00E053A9"/>
    <w:rsid w:val="00E05A34"/>
    <w:rsid w:val="00E178B2"/>
    <w:rsid w:val="00E17EC6"/>
    <w:rsid w:val="00E230B8"/>
    <w:rsid w:val="00E23192"/>
    <w:rsid w:val="00E24D96"/>
    <w:rsid w:val="00E27CFE"/>
    <w:rsid w:val="00E32503"/>
    <w:rsid w:val="00E3414B"/>
    <w:rsid w:val="00E360F8"/>
    <w:rsid w:val="00E41657"/>
    <w:rsid w:val="00E45DD2"/>
    <w:rsid w:val="00E50125"/>
    <w:rsid w:val="00E5434E"/>
    <w:rsid w:val="00E640A5"/>
    <w:rsid w:val="00E65E82"/>
    <w:rsid w:val="00E71BB7"/>
    <w:rsid w:val="00E76B74"/>
    <w:rsid w:val="00E76CFE"/>
    <w:rsid w:val="00E82BC1"/>
    <w:rsid w:val="00E84358"/>
    <w:rsid w:val="00E84D0A"/>
    <w:rsid w:val="00E84DE9"/>
    <w:rsid w:val="00E84FCA"/>
    <w:rsid w:val="00E903E7"/>
    <w:rsid w:val="00E922E1"/>
    <w:rsid w:val="00E92B68"/>
    <w:rsid w:val="00EA2635"/>
    <w:rsid w:val="00EA2B00"/>
    <w:rsid w:val="00EA43DE"/>
    <w:rsid w:val="00EA602F"/>
    <w:rsid w:val="00EA7DF3"/>
    <w:rsid w:val="00EB1086"/>
    <w:rsid w:val="00EB19F9"/>
    <w:rsid w:val="00EB2076"/>
    <w:rsid w:val="00EC152E"/>
    <w:rsid w:val="00EC240C"/>
    <w:rsid w:val="00EC2E5D"/>
    <w:rsid w:val="00EC4501"/>
    <w:rsid w:val="00EC6C11"/>
    <w:rsid w:val="00ED25C0"/>
    <w:rsid w:val="00ED3F1F"/>
    <w:rsid w:val="00EE0374"/>
    <w:rsid w:val="00EE0EA7"/>
    <w:rsid w:val="00EE27B2"/>
    <w:rsid w:val="00EE6F90"/>
    <w:rsid w:val="00EF4B07"/>
    <w:rsid w:val="00F032DD"/>
    <w:rsid w:val="00F0333B"/>
    <w:rsid w:val="00F10CDD"/>
    <w:rsid w:val="00F1374C"/>
    <w:rsid w:val="00F15B00"/>
    <w:rsid w:val="00F21BA4"/>
    <w:rsid w:val="00F244A9"/>
    <w:rsid w:val="00F25479"/>
    <w:rsid w:val="00F270A5"/>
    <w:rsid w:val="00F320E5"/>
    <w:rsid w:val="00F32F08"/>
    <w:rsid w:val="00F412AE"/>
    <w:rsid w:val="00F42E7A"/>
    <w:rsid w:val="00F445E9"/>
    <w:rsid w:val="00F447A1"/>
    <w:rsid w:val="00F5091E"/>
    <w:rsid w:val="00F511F5"/>
    <w:rsid w:val="00F5218D"/>
    <w:rsid w:val="00F52BB1"/>
    <w:rsid w:val="00F53D9B"/>
    <w:rsid w:val="00F607D7"/>
    <w:rsid w:val="00F6593A"/>
    <w:rsid w:val="00F679BB"/>
    <w:rsid w:val="00F74315"/>
    <w:rsid w:val="00F74753"/>
    <w:rsid w:val="00F86C49"/>
    <w:rsid w:val="00F87D41"/>
    <w:rsid w:val="00F92D36"/>
    <w:rsid w:val="00F97136"/>
    <w:rsid w:val="00F97947"/>
    <w:rsid w:val="00FA29AD"/>
    <w:rsid w:val="00FA2AB0"/>
    <w:rsid w:val="00FA2E16"/>
    <w:rsid w:val="00FA708A"/>
    <w:rsid w:val="00FA70A2"/>
    <w:rsid w:val="00FB1C12"/>
    <w:rsid w:val="00FB4871"/>
    <w:rsid w:val="00FB7128"/>
    <w:rsid w:val="00FC02D7"/>
    <w:rsid w:val="00FC5DC7"/>
    <w:rsid w:val="00FC7300"/>
    <w:rsid w:val="00FD08A6"/>
    <w:rsid w:val="00FD156F"/>
    <w:rsid w:val="00FE1D3E"/>
    <w:rsid w:val="00FE32A5"/>
    <w:rsid w:val="00FE38FC"/>
    <w:rsid w:val="00FF1A07"/>
    <w:rsid w:val="00FF3B60"/>
    <w:rsid w:val="00FF752A"/>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4A6A87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Revision">
    <w:name w:val="Revision"/>
    <w:hidden/>
    <w:uiPriority w:val="99"/>
    <w:semiHidden/>
    <w:rsid w:val="001F3C2D"/>
    <w:rPr>
      <w:rFonts w:ascii="Arial" w:hAnsi="Arial"/>
      <w:lang w:eastAsia="en-US"/>
    </w:rPr>
  </w:style>
  <w:style w:type="paragraph" w:styleId="BodyText">
    <w:name w:val="Body Text"/>
    <w:basedOn w:val="Normal"/>
    <w:link w:val="BodyTextChar"/>
    <w:uiPriority w:val="1"/>
    <w:qFormat/>
    <w:rsid w:val="00921875"/>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921875"/>
    <w:rPr>
      <w:rFonts w:ascii="Arial" w:eastAsia="Arial" w:hAnsi="Arial" w:cs="Arial"/>
      <w:lang w:val="en-US" w:eastAsia="en-US"/>
    </w:rPr>
  </w:style>
  <w:style w:type="paragraph" w:styleId="ListParagraph">
    <w:name w:val="List Paragraph"/>
    <w:basedOn w:val="Normal"/>
    <w:uiPriority w:val="1"/>
    <w:qFormat/>
    <w:rsid w:val="00146CC2"/>
    <w:pPr>
      <w:widowControl w:val="0"/>
      <w:overflowPunct/>
      <w:adjustRightInd/>
      <w:ind w:left="1610" w:hanging="361"/>
      <w:jc w:val="left"/>
      <w:textAlignment w:val="auto"/>
    </w:pPr>
    <w:rPr>
      <w:rFonts w:eastAsia="Arial" w:cs="Arial"/>
      <w:sz w:val="22"/>
      <w:szCs w:val="22"/>
      <w:lang w:val="en-US"/>
    </w:rPr>
  </w:style>
  <w:style w:type="paragraph" w:customStyle="1" w:styleId="paragraph">
    <w:name w:val="paragraph"/>
    <w:basedOn w:val="Normal"/>
    <w:rsid w:val="008F12BE"/>
    <w:pPr>
      <w:overflowPunct/>
      <w:autoSpaceDE/>
      <w:autoSpaceDN/>
      <w:adjustRightInd/>
      <w:spacing w:before="100" w:beforeAutospacing="1" w:after="100" w:afterAutospacing="1"/>
      <w:jc w:val="left"/>
      <w:textAlignment w:val="auto"/>
    </w:pPr>
    <w:rPr>
      <w:rFonts w:ascii="Times New Roman" w:hAnsi="Times New Roman"/>
      <w:sz w:val="24"/>
      <w:szCs w:val="24"/>
      <w:lang w:val="es-ES" w:eastAsia="es-ES"/>
    </w:rPr>
  </w:style>
  <w:style w:type="character" w:customStyle="1" w:styleId="normaltextrun">
    <w:name w:val="normaltextrun"/>
    <w:basedOn w:val="DefaultParagraphFont"/>
    <w:rsid w:val="008F12BE"/>
  </w:style>
  <w:style w:type="character" w:customStyle="1" w:styleId="eop">
    <w:name w:val="eop"/>
    <w:basedOn w:val="DefaultParagraphFont"/>
    <w:rsid w:val="008F1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327097">
      <w:bodyDiv w:val="1"/>
      <w:marLeft w:val="0"/>
      <w:marRight w:val="0"/>
      <w:marTop w:val="0"/>
      <w:marBottom w:val="0"/>
      <w:divBdr>
        <w:top w:val="none" w:sz="0" w:space="0" w:color="auto"/>
        <w:left w:val="none" w:sz="0" w:space="0" w:color="auto"/>
        <w:bottom w:val="none" w:sz="0" w:space="0" w:color="auto"/>
        <w:right w:val="none" w:sz="0" w:space="0" w:color="auto"/>
      </w:divBdr>
      <w:divsChild>
        <w:div w:id="644941344">
          <w:marLeft w:val="0"/>
          <w:marRight w:val="0"/>
          <w:marTop w:val="0"/>
          <w:marBottom w:val="0"/>
          <w:divBdr>
            <w:top w:val="none" w:sz="0" w:space="0" w:color="auto"/>
            <w:left w:val="none" w:sz="0" w:space="0" w:color="auto"/>
            <w:bottom w:val="none" w:sz="0" w:space="0" w:color="auto"/>
            <w:right w:val="none" w:sz="0" w:space="0" w:color="auto"/>
          </w:divBdr>
        </w:div>
        <w:div w:id="1949577509">
          <w:marLeft w:val="0"/>
          <w:marRight w:val="0"/>
          <w:marTop w:val="0"/>
          <w:marBottom w:val="0"/>
          <w:divBdr>
            <w:top w:val="none" w:sz="0" w:space="0" w:color="auto"/>
            <w:left w:val="none" w:sz="0" w:space="0" w:color="auto"/>
            <w:bottom w:val="none" w:sz="0" w:space="0" w:color="auto"/>
            <w:right w:val="none" w:sz="0" w:space="0" w:color="auto"/>
          </w:divBdr>
        </w:div>
        <w:div w:id="1807698249">
          <w:marLeft w:val="0"/>
          <w:marRight w:val="0"/>
          <w:marTop w:val="0"/>
          <w:marBottom w:val="0"/>
          <w:divBdr>
            <w:top w:val="none" w:sz="0" w:space="0" w:color="auto"/>
            <w:left w:val="none" w:sz="0" w:space="0" w:color="auto"/>
            <w:bottom w:val="none" w:sz="0" w:space="0" w:color="auto"/>
            <w:right w:val="none" w:sz="0" w:space="0" w:color="auto"/>
          </w:divBdr>
        </w:div>
        <w:div w:id="26299765">
          <w:marLeft w:val="0"/>
          <w:marRight w:val="0"/>
          <w:marTop w:val="0"/>
          <w:marBottom w:val="0"/>
          <w:divBdr>
            <w:top w:val="none" w:sz="0" w:space="0" w:color="auto"/>
            <w:left w:val="none" w:sz="0" w:space="0" w:color="auto"/>
            <w:bottom w:val="none" w:sz="0" w:space="0" w:color="auto"/>
            <w:right w:val="none" w:sz="0" w:space="0" w:color="auto"/>
          </w:divBdr>
        </w:div>
        <w:div w:id="452209183">
          <w:marLeft w:val="0"/>
          <w:marRight w:val="0"/>
          <w:marTop w:val="0"/>
          <w:marBottom w:val="0"/>
          <w:divBdr>
            <w:top w:val="none" w:sz="0" w:space="0" w:color="auto"/>
            <w:left w:val="none" w:sz="0" w:space="0" w:color="auto"/>
            <w:bottom w:val="none" w:sz="0" w:space="0" w:color="auto"/>
            <w:right w:val="none" w:sz="0" w:space="0" w:color="auto"/>
          </w:divBdr>
        </w:div>
        <w:div w:id="1868641426">
          <w:marLeft w:val="0"/>
          <w:marRight w:val="0"/>
          <w:marTop w:val="0"/>
          <w:marBottom w:val="0"/>
          <w:divBdr>
            <w:top w:val="none" w:sz="0" w:space="0" w:color="auto"/>
            <w:left w:val="none" w:sz="0" w:space="0" w:color="auto"/>
            <w:bottom w:val="none" w:sz="0" w:space="0" w:color="auto"/>
            <w:right w:val="none" w:sz="0" w:space="0" w:color="auto"/>
          </w:divBdr>
        </w:div>
        <w:div w:id="1374035895">
          <w:marLeft w:val="0"/>
          <w:marRight w:val="0"/>
          <w:marTop w:val="0"/>
          <w:marBottom w:val="0"/>
          <w:divBdr>
            <w:top w:val="none" w:sz="0" w:space="0" w:color="auto"/>
            <w:left w:val="none" w:sz="0" w:space="0" w:color="auto"/>
            <w:bottom w:val="none" w:sz="0" w:space="0" w:color="auto"/>
            <w:right w:val="none" w:sz="0" w:space="0" w:color="auto"/>
          </w:divBdr>
        </w:div>
        <w:div w:id="1385056079">
          <w:marLeft w:val="0"/>
          <w:marRight w:val="0"/>
          <w:marTop w:val="0"/>
          <w:marBottom w:val="0"/>
          <w:divBdr>
            <w:top w:val="none" w:sz="0" w:space="0" w:color="auto"/>
            <w:left w:val="none" w:sz="0" w:space="0" w:color="auto"/>
            <w:bottom w:val="none" w:sz="0" w:space="0" w:color="auto"/>
            <w:right w:val="none" w:sz="0" w:space="0" w:color="auto"/>
          </w:divBdr>
        </w:div>
        <w:div w:id="1320622662">
          <w:marLeft w:val="0"/>
          <w:marRight w:val="0"/>
          <w:marTop w:val="0"/>
          <w:marBottom w:val="0"/>
          <w:divBdr>
            <w:top w:val="none" w:sz="0" w:space="0" w:color="auto"/>
            <w:left w:val="none" w:sz="0" w:space="0" w:color="auto"/>
            <w:bottom w:val="none" w:sz="0" w:space="0" w:color="auto"/>
            <w:right w:val="none" w:sz="0" w:space="0" w:color="auto"/>
          </w:divBdr>
        </w:div>
        <w:div w:id="193545925">
          <w:marLeft w:val="0"/>
          <w:marRight w:val="0"/>
          <w:marTop w:val="0"/>
          <w:marBottom w:val="0"/>
          <w:divBdr>
            <w:top w:val="none" w:sz="0" w:space="0" w:color="auto"/>
            <w:left w:val="none" w:sz="0" w:space="0" w:color="auto"/>
            <w:bottom w:val="none" w:sz="0" w:space="0" w:color="auto"/>
            <w:right w:val="none" w:sz="0" w:space="0" w:color="auto"/>
          </w:divBdr>
        </w:div>
        <w:div w:id="40443526">
          <w:marLeft w:val="0"/>
          <w:marRight w:val="0"/>
          <w:marTop w:val="0"/>
          <w:marBottom w:val="0"/>
          <w:divBdr>
            <w:top w:val="none" w:sz="0" w:space="0" w:color="auto"/>
            <w:left w:val="none" w:sz="0" w:space="0" w:color="auto"/>
            <w:bottom w:val="none" w:sz="0" w:space="0" w:color="auto"/>
            <w:right w:val="none" w:sz="0" w:space="0" w:color="auto"/>
          </w:divBdr>
        </w:div>
        <w:div w:id="2028411735">
          <w:marLeft w:val="0"/>
          <w:marRight w:val="0"/>
          <w:marTop w:val="0"/>
          <w:marBottom w:val="0"/>
          <w:divBdr>
            <w:top w:val="none" w:sz="0" w:space="0" w:color="auto"/>
            <w:left w:val="none" w:sz="0" w:space="0" w:color="auto"/>
            <w:bottom w:val="none" w:sz="0" w:space="0" w:color="auto"/>
            <w:right w:val="none" w:sz="0" w:space="0" w:color="auto"/>
          </w:divBdr>
        </w:div>
        <w:div w:id="1587836061">
          <w:marLeft w:val="0"/>
          <w:marRight w:val="0"/>
          <w:marTop w:val="0"/>
          <w:marBottom w:val="0"/>
          <w:divBdr>
            <w:top w:val="none" w:sz="0" w:space="0" w:color="auto"/>
            <w:left w:val="none" w:sz="0" w:space="0" w:color="auto"/>
            <w:bottom w:val="none" w:sz="0" w:space="0" w:color="auto"/>
            <w:right w:val="none" w:sz="0" w:space="0" w:color="auto"/>
          </w:divBdr>
        </w:div>
        <w:div w:id="1194265975">
          <w:marLeft w:val="0"/>
          <w:marRight w:val="0"/>
          <w:marTop w:val="0"/>
          <w:marBottom w:val="0"/>
          <w:divBdr>
            <w:top w:val="none" w:sz="0" w:space="0" w:color="auto"/>
            <w:left w:val="none" w:sz="0" w:space="0" w:color="auto"/>
            <w:bottom w:val="none" w:sz="0" w:space="0" w:color="auto"/>
            <w:right w:val="none" w:sz="0" w:space="0" w:color="auto"/>
          </w:divBdr>
        </w:div>
        <w:div w:id="746266017">
          <w:marLeft w:val="0"/>
          <w:marRight w:val="0"/>
          <w:marTop w:val="0"/>
          <w:marBottom w:val="0"/>
          <w:divBdr>
            <w:top w:val="none" w:sz="0" w:space="0" w:color="auto"/>
            <w:left w:val="none" w:sz="0" w:space="0" w:color="auto"/>
            <w:bottom w:val="none" w:sz="0" w:space="0" w:color="auto"/>
            <w:right w:val="none" w:sz="0" w:space="0" w:color="auto"/>
          </w:divBdr>
        </w:div>
        <w:div w:id="1035736813">
          <w:marLeft w:val="0"/>
          <w:marRight w:val="0"/>
          <w:marTop w:val="0"/>
          <w:marBottom w:val="0"/>
          <w:divBdr>
            <w:top w:val="none" w:sz="0" w:space="0" w:color="auto"/>
            <w:left w:val="none" w:sz="0" w:space="0" w:color="auto"/>
            <w:bottom w:val="none" w:sz="0" w:space="0" w:color="auto"/>
            <w:right w:val="none" w:sz="0" w:space="0" w:color="auto"/>
          </w:divBdr>
        </w:div>
        <w:div w:id="2112628810">
          <w:marLeft w:val="0"/>
          <w:marRight w:val="0"/>
          <w:marTop w:val="0"/>
          <w:marBottom w:val="0"/>
          <w:divBdr>
            <w:top w:val="none" w:sz="0" w:space="0" w:color="auto"/>
            <w:left w:val="none" w:sz="0" w:space="0" w:color="auto"/>
            <w:bottom w:val="none" w:sz="0" w:space="0" w:color="auto"/>
            <w:right w:val="none" w:sz="0" w:space="0" w:color="auto"/>
          </w:divBdr>
        </w:div>
        <w:div w:id="600259621">
          <w:marLeft w:val="0"/>
          <w:marRight w:val="0"/>
          <w:marTop w:val="0"/>
          <w:marBottom w:val="0"/>
          <w:divBdr>
            <w:top w:val="none" w:sz="0" w:space="0" w:color="auto"/>
            <w:left w:val="none" w:sz="0" w:space="0" w:color="auto"/>
            <w:bottom w:val="none" w:sz="0" w:space="0" w:color="auto"/>
            <w:right w:val="none" w:sz="0" w:space="0" w:color="auto"/>
          </w:divBdr>
        </w:div>
        <w:div w:id="22748715">
          <w:marLeft w:val="0"/>
          <w:marRight w:val="0"/>
          <w:marTop w:val="0"/>
          <w:marBottom w:val="0"/>
          <w:divBdr>
            <w:top w:val="none" w:sz="0" w:space="0" w:color="auto"/>
            <w:left w:val="none" w:sz="0" w:space="0" w:color="auto"/>
            <w:bottom w:val="none" w:sz="0" w:space="0" w:color="auto"/>
            <w:right w:val="none" w:sz="0" w:space="0" w:color="auto"/>
          </w:divBdr>
        </w:div>
        <w:div w:id="1803569509">
          <w:marLeft w:val="0"/>
          <w:marRight w:val="0"/>
          <w:marTop w:val="0"/>
          <w:marBottom w:val="0"/>
          <w:divBdr>
            <w:top w:val="none" w:sz="0" w:space="0" w:color="auto"/>
            <w:left w:val="none" w:sz="0" w:space="0" w:color="auto"/>
            <w:bottom w:val="none" w:sz="0" w:space="0" w:color="auto"/>
            <w:right w:val="none" w:sz="0" w:space="0" w:color="auto"/>
          </w:divBdr>
        </w:div>
        <w:div w:id="867178353">
          <w:marLeft w:val="0"/>
          <w:marRight w:val="0"/>
          <w:marTop w:val="0"/>
          <w:marBottom w:val="0"/>
          <w:divBdr>
            <w:top w:val="none" w:sz="0" w:space="0" w:color="auto"/>
            <w:left w:val="none" w:sz="0" w:space="0" w:color="auto"/>
            <w:bottom w:val="none" w:sz="0" w:space="0" w:color="auto"/>
            <w:right w:val="none" w:sz="0" w:space="0" w:color="auto"/>
          </w:divBdr>
        </w:div>
        <w:div w:id="1299529348">
          <w:marLeft w:val="0"/>
          <w:marRight w:val="0"/>
          <w:marTop w:val="0"/>
          <w:marBottom w:val="0"/>
          <w:divBdr>
            <w:top w:val="none" w:sz="0" w:space="0" w:color="auto"/>
            <w:left w:val="none" w:sz="0" w:space="0" w:color="auto"/>
            <w:bottom w:val="none" w:sz="0" w:space="0" w:color="auto"/>
            <w:right w:val="none" w:sz="0" w:space="0" w:color="auto"/>
          </w:divBdr>
        </w:div>
        <w:div w:id="1783911713">
          <w:marLeft w:val="0"/>
          <w:marRight w:val="0"/>
          <w:marTop w:val="0"/>
          <w:marBottom w:val="0"/>
          <w:divBdr>
            <w:top w:val="none" w:sz="0" w:space="0" w:color="auto"/>
            <w:left w:val="none" w:sz="0" w:space="0" w:color="auto"/>
            <w:bottom w:val="none" w:sz="0" w:space="0" w:color="auto"/>
            <w:right w:val="none" w:sz="0" w:space="0" w:color="auto"/>
          </w:divBdr>
        </w:div>
        <w:div w:id="2000841910">
          <w:marLeft w:val="0"/>
          <w:marRight w:val="0"/>
          <w:marTop w:val="0"/>
          <w:marBottom w:val="0"/>
          <w:divBdr>
            <w:top w:val="none" w:sz="0" w:space="0" w:color="auto"/>
            <w:left w:val="none" w:sz="0" w:space="0" w:color="auto"/>
            <w:bottom w:val="none" w:sz="0" w:space="0" w:color="auto"/>
            <w:right w:val="none" w:sz="0" w:space="0" w:color="auto"/>
          </w:divBdr>
        </w:div>
        <w:div w:id="478807937">
          <w:marLeft w:val="0"/>
          <w:marRight w:val="0"/>
          <w:marTop w:val="0"/>
          <w:marBottom w:val="0"/>
          <w:divBdr>
            <w:top w:val="none" w:sz="0" w:space="0" w:color="auto"/>
            <w:left w:val="none" w:sz="0" w:space="0" w:color="auto"/>
            <w:bottom w:val="none" w:sz="0" w:space="0" w:color="auto"/>
            <w:right w:val="none" w:sz="0" w:space="0" w:color="auto"/>
          </w:divBdr>
        </w:div>
        <w:div w:id="1530680016">
          <w:marLeft w:val="0"/>
          <w:marRight w:val="0"/>
          <w:marTop w:val="0"/>
          <w:marBottom w:val="0"/>
          <w:divBdr>
            <w:top w:val="none" w:sz="0" w:space="0" w:color="auto"/>
            <w:left w:val="none" w:sz="0" w:space="0" w:color="auto"/>
            <w:bottom w:val="none" w:sz="0" w:space="0" w:color="auto"/>
            <w:right w:val="none" w:sz="0" w:space="0" w:color="auto"/>
          </w:divBdr>
        </w:div>
      </w:divsChild>
    </w:div>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12E2D33A-404C-4489-AD1F-61EEEE62C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FA5876-A6EF-48F6-9E5B-CD0B74778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2672</Words>
  <Characters>14379</Characters>
  <Application>Microsoft Office Word</Application>
  <DocSecurity>0</DocSecurity>
  <Lines>359</Lines>
  <Paragraphs>129</Paragraphs>
  <ScaleCrop>false</ScaleCrop>
  <Company>City of Boroondara</Company>
  <LinksUpToDate>false</LinksUpToDate>
  <CharactersWithSpaces>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20</cp:revision>
  <cp:lastPrinted>2017-04-07T00:02:00Z</cp:lastPrinted>
  <dcterms:created xsi:type="dcterms:W3CDTF">2022-03-30T09:34:00Z</dcterms:created>
  <dcterms:modified xsi:type="dcterms:W3CDTF">2022-06-01T03:34:00Z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