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BFF3B" w14:textId="77777777" w:rsidR="00B73BCD" w:rsidRDefault="00B73BCD" w:rsidP="00EB3BCB">
      <w:pPr>
        <w:pStyle w:val="Citation-Heading2"/>
        <w:rPr>
          <w:bCs/>
          <w:color w:val="auto"/>
          <w:kern w:val="28"/>
          <w:sz w:val="30"/>
        </w:rPr>
      </w:pPr>
      <w:r w:rsidRPr="00B73BCD">
        <w:rPr>
          <w:bCs/>
          <w:color w:val="auto"/>
          <w:kern w:val="28"/>
          <w:sz w:val="30"/>
        </w:rPr>
        <w:t xml:space="preserve">10 Caledonia Street, St Andrews </w:t>
      </w:r>
    </w:p>
    <w:p w14:paraId="242EFBC4" w14:textId="11867403" w:rsidR="00EB3BCB" w:rsidRDefault="00337370" w:rsidP="00EB3BCB">
      <w:pPr>
        <w:pStyle w:val="Citation-Heading2"/>
      </w:pPr>
      <w:bookmarkStart w:id="0" w:name="_Hlk73974367"/>
      <w:r>
        <w:t xml:space="preserve">St Andrews General Store and </w:t>
      </w:r>
      <w:r w:rsidR="00A61593">
        <w:t>House</w:t>
      </w:r>
    </w:p>
    <w:tbl>
      <w:tblP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513"/>
        <w:gridCol w:w="4513"/>
      </w:tblGrid>
      <w:tr w:rsidR="0004104D" w:rsidRPr="0004104D" w14:paraId="25D95EE8" w14:textId="77777777" w:rsidTr="00EE37B1">
        <w:trPr>
          <w:trHeight w:val="340"/>
        </w:trPr>
        <w:tc>
          <w:tcPr>
            <w:tcW w:w="4513" w:type="dxa"/>
            <w:tcBorders>
              <w:top w:val="single" w:sz="4" w:space="0" w:color="auto"/>
            </w:tcBorders>
            <w:vAlign w:val="center"/>
          </w:tcPr>
          <w:bookmarkEnd w:id="0"/>
          <w:p w14:paraId="397D5336" w14:textId="74FE25D4" w:rsidR="0004104D" w:rsidRPr="0004104D" w:rsidRDefault="0004104D" w:rsidP="0004104D">
            <w:pPr>
              <w:pStyle w:val="Citation-Tabletext"/>
            </w:pPr>
            <w:r w:rsidRPr="0004104D">
              <w:rPr>
                <w:rStyle w:val="Citation-Boldcharacterstyle"/>
              </w:rPr>
              <w:t>Prepared by:</w:t>
            </w:r>
            <w:r w:rsidRPr="0004104D">
              <w:t xml:space="preserve"> </w:t>
            </w:r>
            <w:r w:rsidR="00337370">
              <w:t>Context</w:t>
            </w:r>
          </w:p>
        </w:tc>
        <w:tc>
          <w:tcPr>
            <w:tcW w:w="4513" w:type="dxa"/>
            <w:tcBorders>
              <w:top w:val="single" w:sz="4" w:space="0" w:color="auto"/>
            </w:tcBorders>
            <w:vAlign w:val="center"/>
          </w:tcPr>
          <w:p w14:paraId="17EE23A0" w14:textId="5FF2581D" w:rsidR="0004104D" w:rsidRPr="0004104D" w:rsidRDefault="0004104D" w:rsidP="0004104D">
            <w:pPr>
              <w:pStyle w:val="Citation-Tabletext"/>
            </w:pPr>
            <w:r w:rsidRPr="0004104D">
              <w:rPr>
                <w:rStyle w:val="Citation-Boldcharacterstyle"/>
              </w:rPr>
              <w:t>Survey date:</w:t>
            </w:r>
            <w:r w:rsidRPr="0004104D">
              <w:t xml:space="preserve"> </w:t>
            </w:r>
            <w:r w:rsidR="00337370">
              <w:t>December 2020</w:t>
            </w:r>
          </w:p>
        </w:tc>
      </w:tr>
      <w:tr w:rsidR="0004104D" w:rsidRPr="0004104D" w14:paraId="124AB333" w14:textId="77777777" w:rsidTr="00EE37B1">
        <w:trPr>
          <w:trHeight w:val="340"/>
        </w:trPr>
        <w:tc>
          <w:tcPr>
            <w:tcW w:w="4513" w:type="dxa"/>
            <w:vAlign w:val="center"/>
          </w:tcPr>
          <w:p w14:paraId="1F1AC373" w14:textId="792B3271" w:rsidR="0004104D" w:rsidRPr="0004104D" w:rsidRDefault="0004104D" w:rsidP="0004104D">
            <w:pPr>
              <w:pStyle w:val="Citation-Tabletext"/>
            </w:pPr>
            <w:r w:rsidRPr="0004104D">
              <w:rPr>
                <w:rStyle w:val="Citation-Boldcharacterstyle"/>
              </w:rPr>
              <w:t>Place type:</w:t>
            </w:r>
            <w:r w:rsidRPr="0004104D">
              <w:t xml:space="preserve"> </w:t>
            </w:r>
            <w:r w:rsidR="00C862D6">
              <w:t>Commercial, residential</w:t>
            </w:r>
          </w:p>
        </w:tc>
        <w:tc>
          <w:tcPr>
            <w:tcW w:w="4513" w:type="dxa"/>
            <w:vAlign w:val="center"/>
          </w:tcPr>
          <w:p w14:paraId="60C8CC19" w14:textId="093B1104" w:rsidR="0004104D" w:rsidRPr="0004104D" w:rsidRDefault="00520C73" w:rsidP="0004104D">
            <w:pPr>
              <w:pStyle w:val="Citation-Tabletext"/>
            </w:pPr>
            <w:r>
              <w:rPr>
                <w:rStyle w:val="Citation-Boldcharacterstyle"/>
              </w:rPr>
              <w:t>Designer</w:t>
            </w:r>
            <w:r w:rsidR="0004104D" w:rsidRPr="0004104D">
              <w:rPr>
                <w:rStyle w:val="Citation-Boldcharacterstyle"/>
              </w:rPr>
              <w:t>:</w:t>
            </w:r>
            <w:r w:rsidR="0004104D" w:rsidRPr="0004104D">
              <w:t xml:space="preserve"> </w:t>
            </w:r>
            <w:r w:rsidR="00C54DB2">
              <w:t>-</w:t>
            </w:r>
          </w:p>
        </w:tc>
      </w:tr>
      <w:tr w:rsidR="0004104D" w:rsidRPr="0004104D" w14:paraId="71A3EF8B" w14:textId="77777777" w:rsidTr="00EE37B1">
        <w:trPr>
          <w:trHeight w:val="340"/>
        </w:trPr>
        <w:tc>
          <w:tcPr>
            <w:tcW w:w="4513" w:type="dxa"/>
            <w:vAlign w:val="center"/>
          </w:tcPr>
          <w:p w14:paraId="56C97661" w14:textId="77777777" w:rsidR="0004104D" w:rsidRPr="0004104D" w:rsidRDefault="0004104D" w:rsidP="0004104D">
            <w:pPr>
              <w:pStyle w:val="Citation-Tabletext"/>
            </w:pPr>
            <w:r w:rsidRPr="0004104D">
              <w:rPr>
                <w:rStyle w:val="Citation-Boldcharacterstyle"/>
              </w:rPr>
              <w:t>Significance level:</w:t>
            </w:r>
            <w:r w:rsidRPr="0004104D">
              <w:t xml:space="preserve"> </w:t>
            </w:r>
            <w:r w:rsidRPr="006D0BAD">
              <w:t>Significant</w:t>
            </w:r>
          </w:p>
        </w:tc>
        <w:tc>
          <w:tcPr>
            <w:tcW w:w="4513" w:type="dxa"/>
            <w:vAlign w:val="center"/>
          </w:tcPr>
          <w:p w14:paraId="09CF52B0" w14:textId="3A087296" w:rsidR="0004104D" w:rsidRPr="0004104D" w:rsidRDefault="0004104D" w:rsidP="0004104D">
            <w:pPr>
              <w:pStyle w:val="Citation-Tabletext"/>
            </w:pPr>
            <w:r w:rsidRPr="0004104D">
              <w:rPr>
                <w:rStyle w:val="Citation-Boldcharacterstyle"/>
              </w:rPr>
              <w:t>Builder:</w:t>
            </w:r>
            <w:r w:rsidRPr="0004104D">
              <w:t xml:space="preserve"> </w:t>
            </w:r>
            <w:r w:rsidR="00C54DB2">
              <w:t>Not Known</w:t>
            </w:r>
          </w:p>
        </w:tc>
      </w:tr>
      <w:tr w:rsidR="0004104D" w:rsidRPr="0004104D" w14:paraId="27DD2FBE" w14:textId="77777777" w:rsidTr="00EE37B1">
        <w:trPr>
          <w:trHeight w:val="340"/>
        </w:trPr>
        <w:tc>
          <w:tcPr>
            <w:tcW w:w="4513" w:type="dxa"/>
            <w:tcBorders>
              <w:bottom w:val="single" w:sz="4" w:space="0" w:color="auto"/>
            </w:tcBorders>
            <w:vAlign w:val="center"/>
          </w:tcPr>
          <w:p w14:paraId="39299DE2" w14:textId="77777777" w:rsidR="0004104D" w:rsidRPr="0004104D" w:rsidRDefault="0004104D" w:rsidP="0004104D">
            <w:pPr>
              <w:pStyle w:val="Citation-Tabletext"/>
            </w:pPr>
            <w:r w:rsidRPr="0004104D">
              <w:rPr>
                <w:rStyle w:val="Citation-Boldcharacterstyle"/>
              </w:rPr>
              <w:t>Extent of overlay:</w:t>
            </w:r>
            <w:r w:rsidRPr="0004104D">
              <w:t xml:space="preserve"> </w:t>
            </w:r>
            <w:r w:rsidRPr="006D0BAD">
              <w:t>To title boundaries</w:t>
            </w:r>
          </w:p>
        </w:tc>
        <w:tc>
          <w:tcPr>
            <w:tcW w:w="4513" w:type="dxa"/>
            <w:tcBorders>
              <w:bottom w:val="single" w:sz="4" w:space="0" w:color="auto"/>
            </w:tcBorders>
            <w:vAlign w:val="center"/>
          </w:tcPr>
          <w:p w14:paraId="0C9AC0A5" w14:textId="1C345CCE" w:rsidR="0004104D" w:rsidRPr="0004104D" w:rsidRDefault="0004104D" w:rsidP="0004104D">
            <w:pPr>
              <w:pStyle w:val="Citation-Tabletext"/>
            </w:pPr>
            <w:r w:rsidRPr="0004104D">
              <w:rPr>
                <w:rStyle w:val="Citation-Boldcharacterstyle"/>
              </w:rPr>
              <w:t>Major construction:</w:t>
            </w:r>
            <w:r w:rsidRPr="0004104D">
              <w:t xml:space="preserve"> </w:t>
            </w:r>
            <w:r w:rsidR="0007396C">
              <w:t>1935</w:t>
            </w:r>
          </w:p>
        </w:tc>
      </w:tr>
    </w:tbl>
    <w:p w14:paraId="6B7D4F88" w14:textId="77777777" w:rsidR="0004104D" w:rsidRDefault="0004104D" w:rsidP="0004104D">
      <w:pPr>
        <w:pStyle w:val="Citation-Image"/>
      </w:pPr>
      <w:r w:rsidRPr="0004104D">
        <w:rPr>
          <w:noProof/>
        </w:rPr>
        <w:drawing>
          <wp:inline distT="0" distB="0" distL="0" distR="0" wp14:anchorId="28DF4D16" wp14:editId="1F0C6846">
            <wp:extent cx="4500000" cy="299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00000" cy="2992500"/>
                    </a:xfrm>
                    <a:prstGeom prst="rect">
                      <a:avLst/>
                    </a:prstGeom>
                    <a:noFill/>
                    <a:ln>
                      <a:noFill/>
                    </a:ln>
                  </pic:spPr>
                </pic:pic>
              </a:graphicData>
            </a:graphic>
          </wp:inline>
        </w:drawing>
      </w:r>
    </w:p>
    <w:p w14:paraId="4161077F" w14:textId="590F6934" w:rsidR="0004104D" w:rsidRDefault="0004104D" w:rsidP="00B4074E">
      <w:pPr>
        <w:pStyle w:val="Citation-Caption"/>
      </w:pPr>
      <w:r>
        <w:t xml:space="preserve">Figure </w:t>
      </w:r>
      <w:fldSimple w:instr=" SEQ Figure \* ARABIC ">
        <w:r w:rsidR="00E8045D">
          <w:rPr>
            <w:noProof/>
          </w:rPr>
          <w:t>1</w:t>
        </w:r>
      </w:fldSimple>
      <w:r>
        <w:t xml:space="preserve">. </w:t>
      </w:r>
      <w:r w:rsidR="00337370">
        <w:t xml:space="preserve">St Andrews General Store and </w:t>
      </w:r>
      <w:r w:rsidR="00A61593">
        <w:t>House</w:t>
      </w:r>
      <w:r w:rsidR="00337370">
        <w:t>. (Source: Context 2020)</w:t>
      </w:r>
      <w:r w:rsidRPr="00B4074E">
        <w:t xml:space="preserve"> </w:t>
      </w:r>
    </w:p>
    <w:p w14:paraId="17CB1677" w14:textId="77777777" w:rsidR="00E8045D" w:rsidRDefault="00B4074E" w:rsidP="00E8045D">
      <w:pPr>
        <w:pStyle w:val="Citation-Image"/>
        <w:keepNext/>
      </w:pPr>
      <w:r>
        <w:rPr>
          <w:noProof/>
        </w:rPr>
        <w:drawing>
          <wp:inline distT="0" distB="0" distL="0" distR="0" wp14:anchorId="394D7EBA" wp14:editId="62320AA5">
            <wp:extent cx="4500000" cy="299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00000" cy="2992500"/>
                    </a:xfrm>
                    <a:prstGeom prst="rect">
                      <a:avLst/>
                    </a:prstGeom>
                    <a:noFill/>
                    <a:ln>
                      <a:noFill/>
                    </a:ln>
                  </pic:spPr>
                </pic:pic>
              </a:graphicData>
            </a:graphic>
          </wp:inline>
        </w:drawing>
      </w:r>
    </w:p>
    <w:p w14:paraId="6186847E" w14:textId="193B1335" w:rsidR="00006D97" w:rsidRDefault="00E8045D" w:rsidP="00886D53">
      <w:pPr>
        <w:pStyle w:val="Citation-Caption"/>
      </w:pPr>
      <w:r>
        <w:t xml:space="preserve">Figure </w:t>
      </w:r>
      <w:fldSimple w:instr=" SEQ Figure \* ARABIC ">
        <w:r>
          <w:rPr>
            <w:noProof/>
          </w:rPr>
          <w:t>2</w:t>
        </w:r>
      </w:fldSimple>
      <w:r w:rsidR="00006D97">
        <w:t xml:space="preserve">. </w:t>
      </w:r>
      <w:r w:rsidR="00337370">
        <w:t xml:space="preserve">St Andrews General Store and </w:t>
      </w:r>
      <w:r w:rsidR="00A61593">
        <w:t>House</w:t>
      </w:r>
      <w:r w:rsidR="00337370">
        <w:t>. (Source: Context 2020)</w:t>
      </w:r>
      <w:r w:rsidR="00006D97">
        <w:t xml:space="preserve"> </w:t>
      </w:r>
    </w:p>
    <w:p w14:paraId="0095AF2B" w14:textId="1D6EC2F5" w:rsidR="00EB3BCB" w:rsidRDefault="00EB3BCB" w:rsidP="00EB3BCB">
      <w:pPr>
        <w:pStyle w:val="Citation-Heading3"/>
      </w:pPr>
      <w:r w:rsidRPr="0051759A">
        <w:lastRenderedPageBreak/>
        <w:t>HISTORICAL</w:t>
      </w:r>
      <w:r>
        <w:t xml:space="preserve"> CONTEXT </w:t>
      </w:r>
    </w:p>
    <w:p w14:paraId="096DAC7D" w14:textId="23135527" w:rsidR="00006D97" w:rsidRDefault="00006D97" w:rsidP="00A36AA1">
      <w:pPr>
        <w:pStyle w:val="Citation-Bodytext"/>
      </w:pPr>
      <w:r>
        <w:t xml:space="preserve">This place is associated with the following historic themes taken from the </w:t>
      </w:r>
      <w:r w:rsidR="0012127F">
        <w:rPr>
          <w:rStyle w:val="Citation-Italicscharacterstyle"/>
        </w:rPr>
        <w:t>Nillum</w:t>
      </w:r>
      <w:r w:rsidR="00640845">
        <w:rPr>
          <w:rStyle w:val="Citation-Italicscharacterstyle"/>
        </w:rPr>
        <w:t>bik</w:t>
      </w:r>
      <w:r w:rsidRPr="00B4074E">
        <w:rPr>
          <w:rStyle w:val="Citation-Italicscharacterstyle"/>
        </w:rPr>
        <w:t xml:space="preserve"> </w:t>
      </w:r>
      <w:r w:rsidR="006C4C98">
        <w:rPr>
          <w:rStyle w:val="Citation-Italicscharacterstyle"/>
        </w:rPr>
        <w:t xml:space="preserve">Shire </w:t>
      </w:r>
      <w:r w:rsidRPr="00B4074E">
        <w:rPr>
          <w:rStyle w:val="Citation-Italicscharacterstyle"/>
        </w:rPr>
        <w:t>Thematic Environmental History</w:t>
      </w:r>
      <w:r>
        <w:t xml:space="preserve"> (</w:t>
      </w:r>
      <w:r w:rsidR="0012127F">
        <w:t>2016</w:t>
      </w:r>
      <w:r>
        <w:t>):</w:t>
      </w:r>
    </w:p>
    <w:p w14:paraId="4F7EDCCD" w14:textId="302AFDF1" w:rsidR="00006D97" w:rsidRPr="000075C0" w:rsidRDefault="00A74AF3" w:rsidP="000075C0">
      <w:pPr>
        <w:pStyle w:val="Citation-Themelevel1"/>
      </w:pPr>
      <w:r>
        <w:t>6</w:t>
      </w:r>
      <w:r w:rsidR="00006D97" w:rsidRPr="000075C0">
        <w:t xml:space="preserve"> </w:t>
      </w:r>
      <w:r w:rsidR="000075C0" w:rsidRPr="000075C0">
        <w:tab/>
      </w:r>
      <w:r w:rsidR="00416254">
        <w:t>BUILDING TOWNS AND SHAPING SUBURBS</w:t>
      </w:r>
    </w:p>
    <w:p w14:paraId="50E97BF3" w14:textId="03E14B75" w:rsidR="00006D97" w:rsidRDefault="00D07C80" w:rsidP="000075C0">
      <w:pPr>
        <w:pStyle w:val="Citation-Themelevel2"/>
      </w:pPr>
      <w:r>
        <w:t>6</w:t>
      </w:r>
      <w:r w:rsidR="00006D97" w:rsidRPr="000075C0">
        <w:t>.</w:t>
      </w:r>
      <w:r>
        <w:t>3</w:t>
      </w:r>
      <w:r w:rsidR="00006D97" w:rsidRPr="000075C0">
        <w:t xml:space="preserve"> </w:t>
      </w:r>
      <w:r w:rsidR="000075C0" w:rsidRPr="000075C0">
        <w:tab/>
      </w:r>
      <w:r w:rsidR="00513402">
        <w:t xml:space="preserve">Interwar subdivisions and </w:t>
      </w:r>
      <w:r w:rsidR="00E12BE2">
        <w:t>estates</w:t>
      </w:r>
    </w:p>
    <w:p w14:paraId="6B1EF680" w14:textId="03E13A59" w:rsidR="00094C86" w:rsidRPr="00A309F7" w:rsidRDefault="00094C86" w:rsidP="00432B68">
      <w:pPr>
        <w:pStyle w:val="Citation-Themetext"/>
      </w:pPr>
      <w:r w:rsidRPr="00A309F7">
        <w:t xml:space="preserve">In the interwar period there were numerous speculative subdivisions throughout the Nillumbik area. These were often marketed as combining possibilities for escape from the city and immersion in the natural values of the area. The introduction of the railway made such speculations </w:t>
      </w:r>
      <w:proofErr w:type="gramStart"/>
      <w:r w:rsidRPr="00A309F7">
        <w:t>possible</w:t>
      </w:r>
      <w:proofErr w:type="gramEnd"/>
      <w:r w:rsidRPr="00A309F7">
        <w:t xml:space="preserve"> and they were spurred on by the promise of its electrification. This meant greater frequency of services and therefore greater viability for commuting workers and weekenders.</w:t>
      </w:r>
      <w:r w:rsidR="00BE36A1">
        <w:t xml:space="preserve"> </w:t>
      </w:r>
      <w:r w:rsidR="00BE36A1" w:rsidRPr="00432B68">
        <w:rPr>
          <w:i w:val="0"/>
          <w:iCs/>
        </w:rPr>
        <w:t xml:space="preserve">(Mills </w:t>
      </w:r>
      <w:r w:rsidR="003B7E0E">
        <w:rPr>
          <w:i w:val="0"/>
          <w:iCs/>
        </w:rPr>
        <w:t>&amp;</w:t>
      </w:r>
      <w:r w:rsidR="00BE36A1" w:rsidRPr="00432B68">
        <w:rPr>
          <w:i w:val="0"/>
          <w:iCs/>
        </w:rPr>
        <w:t xml:space="preserve"> </w:t>
      </w:r>
      <w:proofErr w:type="spellStart"/>
      <w:r w:rsidR="00BE36A1" w:rsidRPr="00432B68">
        <w:rPr>
          <w:i w:val="0"/>
          <w:iCs/>
        </w:rPr>
        <w:t>Westbrooke</w:t>
      </w:r>
      <w:proofErr w:type="spellEnd"/>
      <w:r w:rsidR="00BE36A1" w:rsidRPr="00432B68">
        <w:rPr>
          <w:i w:val="0"/>
          <w:iCs/>
        </w:rPr>
        <w:t xml:space="preserve"> 2016:</w:t>
      </w:r>
      <w:r w:rsidR="0071617D" w:rsidRPr="00432B68">
        <w:rPr>
          <w:i w:val="0"/>
          <w:iCs/>
        </w:rPr>
        <w:t>71</w:t>
      </w:r>
      <w:r w:rsidR="00BE36A1" w:rsidRPr="00432B68">
        <w:rPr>
          <w:i w:val="0"/>
          <w:iCs/>
        </w:rPr>
        <w:t>).</w:t>
      </w:r>
    </w:p>
    <w:p w14:paraId="40E7D8AA" w14:textId="6A634896" w:rsidR="00B70509" w:rsidRPr="00943433" w:rsidRDefault="00B70509" w:rsidP="00432B68">
      <w:pPr>
        <w:pStyle w:val="Citation-Themetext"/>
      </w:pPr>
      <w:r w:rsidRPr="00943433">
        <w:t xml:space="preserve">Advertisements for interwar subdivisions in the small towns reveal that they were in large part aimed at a weekender market. In 1924, blocks in the Hurstbridge Railway Estate were advertised as ‘lovely mountain residential week-end holiday lots’, with ‘big timbered blocks’ and ‘pretty quarter and half acre </w:t>
      </w:r>
      <w:proofErr w:type="gramStart"/>
      <w:r w:rsidRPr="00943433">
        <w:t>blocks’</w:t>
      </w:r>
      <w:proofErr w:type="gramEnd"/>
      <w:r w:rsidRPr="00943433">
        <w:t>. A newspaper article breathlessly described its merits. ‘The advantages … are unassailable – nearness to the railway station, commanding extensive and lovely views of the forest and meadow, hill and glen, the very home of various kinds of wattles, with the Diamond Creek in full view, but powerless in its highest floods to do them injury, and the quality of the land suitable for gardens and orchards.’  Four hundred people attended the first auction in November 1924, when 50 of the better blocks of the 160 available were sold. Some buyers bought two or three of the best blocks on Via Meander (now Meander Road), indicating a speculative interest</w:t>
      </w:r>
      <w:r w:rsidRPr="00432B68">
        <w:rPr>
          <w:i w:val="0"/>
          <w:iCs/>
        </w:rPr>
        <w:t>.</w:t>
      </w:r>
      <w:r w:rsidR="00BE36A1" w:rsidRPr="00432B68">
        <w:rPr>
          <w:i w:val="0"/>
          <w:iCs/>
        </w:rPr>
        <w:t xml:space="preserve"> (Mills </w:t>
      </w:r>
      <w:r w:rsidR="003B7E0E">
        <w:rPr>
          <w:i w:val="0"/>
          <w:iCs/>
        </w:rPr>
        <w:t>&amp;</w:t>
      </w:r>
      <w:r w:rsidR="00BE36A1" w:rsidRPr="00432B68">
        <w:rPr>
          <w:i w:val="0"/>
          <w:iCs/>
        </w:rPr>
        <w:t xml:space="preserve"> </w:t>
      </w:r>
      <w:proofErr w:type="spellStart"/>
      <w:r w:rsidR="00BE36A1" w:rsidRPr="00432B68">
        <w:rPr>
          <w:i w:val="0"/>
          <w:iCs/>
        </w:rPr>
        <w:t>Westbrooke</w:t>
      </w:r>
      <w:proofErr w:type="spellEnd"/>
      <w:r w:rsidR="00BE36A1" w:rsidRPr="00432B68">
        <w:rPr>
          <w:i w:val="0"/>
          <w:iCs/>
        </w:rPr>
        <w:t xml:space="preserve"> 2016:</w:t>
      </w:r>
      <w:r w:rsidR="006E075F" w:rsidRPr="00432B68">
        <w:rPr>
          <w:i w:val="0"/>
          <w:iCs/>
        </w:rPr>
        <w:t>72</w:t>
      </w:r>
      <w:r w:rsidR="00BE36A1" w:rsidRPr="00432B68">
        <w:rPr>
          <w:i w:val="0"/>
          <w:iCs/>
        </w:rPr>
        <w:t>).</w:t>
      </w:r>
    </w:p>
    <w:p w14:paraId="751878A7" w14:textId="3334A78D" w:rsidR="003A1823" w:rsidRPr="00C05DBA" w:rsidRDefault="00B70509" w:rsidP="00432B68">
      <w:pPr>
        <w:pStyle w:val="Citation-Themetext"/>
      </w:pPr>
      <w:r w:rsidRPr="00C05DBA">
        <w:t xml:space="preserve">Most of the housing in these towns in the interwar period, as for the later nineteenth and early twentieth centuries, was still constructed in weatherboard on a timber frame. At Hurstbridge a substantial group of weatherboard cottages and shops along Main Road (Heidelberg–Kinglake Road) remain from this period (HO65–HO79, HO182). They are typically double fronted and set back from the road (HLCD 2008, p. 11). The 1923 Wilkinson House in Diamond Creek, however, was clad in stucco as well as weatherboard (HO184). Another exception was </w:t>
      </w:r>
      <w:proofErr w:type="spellStart"/>
      <w:r w:rsidRPr="00C05DBA">
        <w:t>Worlingworth</w:t>
      </w:r>
      <w:proofErr w:type="spellEnd"/>
      <w:r w:rsidRPr="00C05DBA">
        <w:t xml:space="preserve"> in Eltham, a brick bungalow built in 1920  (HO7).</w:t>
      </w:r>
      <w:r w:rsidR="00BE36A1" w:rsidRPr="00BE36A1">
        <w:t xml:space="preserve"> </w:t>
      </w:r>
      <w:r w:rsidR="00BE36A1" w:rsidRPr="00432B68">
        <w:rPr>
          <w:i w:val="0"/>
          <w:iCs/>
        </w:rPr>
        <w:t xml:space="preserve">(Mills </w:t>
      </w:r>
      <w:r w:rsidR="003B7E0E">
        <w:rPr>
          <w:i w:val="0"/>
          <w:iCs/>
        </w:rPr>
        <w:t>&amp;</w:t>
      </w:r>
      <w:r w:rsidR="00BE36A1" w:rsidRPr="00432B68">
        <w:rPr>
          <w:i w:val="0"/>
          <w:iCs/>
        </w:rPr>
        <w:t xml:space="preserve"> </w:t>
      </w:r>
      <w:proofErr w:type="spellStart"/>
      <w:r w:rsidR="00BE36A1" w:rsidRPr="00432B68">
        <w:rPr>
          <w:i w:val="0"/>
          <w:iCs/>
        </w:rPr>
        <w:t>Westbrooke</w:t>
      </w:r>
      <w:proofErr w:type="spellEnd"/>
      <w:r w:rsidR="00BE36A1" w:rsidRPr="00432B68">
        <w:rPr>
          <w:i w:val="0"/>
          <w:iCs/>
        </w:rPr>
        <w:t xml:space="preserve"> 2016:</w:t>
      </w:r>
      <w:r w:rsidR="00971AC7" w:rsidRPr="00432B68">
        <w:rPr>
          <w:i w:val="0"/>
          <w:iCs/>
        </w:rPr>
        <w:t>73-74</w:t>
      </w:r>
      <w:r w:rsidR="00BE36A1" w:rsidRPr="00432B68">
        <w:rPr>
          <w:i w:val="0"/>
          <w:iCs/>
        </w:rPr>
        <w:t>).</w:t>
      </w:r>
    </w:p>
    <w:p w14:paraId="2B7F1AE4" w14:textId="3229AD12" w:rsidR="003A1823" w:rsidRDefault="003A1823" w:rsidP="00EB3BCB">
      <w:pPr>
        <w:pStyle w:val="Citation-Heading3"/>
      </w:pPr>
      <w:r>
        <w:t>LOCALITY HISTORY</w:t>
      </w:r>
    </w:p>
    <w:p w14:paraId="5DB1776C" w14:textId="77777777" w:rsidR="00395559" w:rsidRDefault="00395559" w:rsidP="00395559">
      <w:pPr>
        <w:pStyle w:val="Citation-Bodytext"/>
      </w:pPr>
      <w:r>
        <w:t>St Andrews was part of the Caledonian goldfields, which stretched from St Andrews to Warrandyte (the St Andrews Mining Division), established in 1854 on the country of the Wurundjeri-</w:t>
      </w:r>
      <w:proofErr w:type="spellStart"/>
      <w:r>
        <w:t>willam</w:t>
      </w:r>
      <w:proofErr w:type="spellEnd"/>
      <w:r>
        <w:t xml:space="preserve"> clan of the </w:t>
      </w:r>
      <w:proofErr w:type="spellStart"/>
      <w:r>
        <w:t>Woi</w:t>
      </w:r>
      <w:proofErr w:type="spellEnd"/>
      <w:r>
        <w:t xml:space="preserve"> wurrung people. The settlement was originally called Queenstown, but by 1865 was also known as St Andrews. The presence of large numbers of Scottish miners gave rise to both names ‘Caledonia’ and ‘St Andrews’ (</w:t>
      </w:r>
      <w:r w:rsidRPr="003611F8">
        <w:rPr>
          <w:rStyle w:val="Citation-Italicscharacterstyle"/>
        </w:rPr>
        <w:t>Victorian Places</w:t>
      </w:r>
      <w:r>
        <w:t xml:space="preserve"> 2015). The place was commonly referred to as ‘St Andrews, Queenstown’.</w:t>
      </w:r>
    </w:p>
    <w:p w14:paraId="7C3F572D" w14:textId="77777777" w:rsidR="00395559" w:rsidRDefault="00395559" w:rsidP="00395559">
      <w:pPr>
        <w:pStyle w:val="Citation-Bodytext"/>
      </w:pPr>
      <w:r>
        <w:t xml:space="preserve">By 1855 there were 3000 miners in Queenstown, and in 1856 a post office and hotel were established in the settlement. The settlement was located on the road from Melbourne to the goldfields at Woods </w:t>
      </w:r>
      <w:r>
        <w:lastRenderedPageBreak/>
        <w:t xml:space="preserve">Point, so it benefited from passing traffic. The town of Queenstown, located on Diamond Creek, was surveyed in 1858 and proclaimed in 1861 (Township of Queenstown 1951; Butler 1996:40). A Church of England school opened in 1858 and was replaced by the Caledonia Common School No. 128, opened in Smiths Gully in 1858. This school, in turn, was replaced by Queenstown State School No. 128 (HO20) built in 1887 (Blake 1973:287). A cemetery (HO163) (in use in nearby Smiths Gully in the 1850s) and a cricket ground were gazetted in 1868, and St Andrews Church of England opened in 1866. A mechanics’ institute opened in 1867 (Butler 1996:40; </w:t>
      </w:r>
      <w:r w:rsidRPr="003611F8">
        <w:rPr>
          <w:rStyle w:val="Citation-Italicscharacterstyle"/>
        </w:rPr>
        <w:t xml:space="preserve">Victorian Places </w:t>
      </w:r>
      <w:r>
        <w:t xml:space="preserve">2015). The shire’s oldest surviving hotel building, St Andrews Hotel (HO19), was built on the Caledonia goldfields in Queenstown c1860 (Mills and </w:t>
      </w:r>
      <w:proofErr w:type="spellStart"/>
      <w:r>
        <w:t>Westbrooke</w:t>
      </w:r>
      <w:proofErr w:type="spellEnd"/>
      <w:r>
        <w:t xml:space="preserve"> 2017:102).</w:t>
      </w:r>
    </w:p>
    <w:p w14:paraId="25005D99" w14:textId="77777777" w:rsidR="00395559" w:rsidRDefault="00395559" w:rsidP="00395559">
      <w:pPr>
        <w:pStyle w:val="Citation-Bodytext"/>
      </w:pPr>
      <w:r>
        <w:t xml:space="preserve">As gold returns diminished, a series of land Acts introduced in Victoria from 1860 aimed to encourage former gold seekers to take up farming. Although some land leased under the land Acts of 1865 and 1869 saw the establishment of orchards on small blocks of about 20 acres in the St Andrews district, freehold ownership of allotments in the area was not achieved until the land Acts of 1884, 1901 and 1915 (Queenstown Parish Plan 1925). </w:t>
      </w:r>
    </w:p>
    <w:p w14:paraId="1A1380FD" w14:textId="77777777" w:rsidR="00395559" w:rsidRDefault="00395559" w:rsidP="00395559">
      <w:pPr>
        <w:pStyle w:val="Citation-Bodytext"/>
      </w:pPr>
      <w:r>
        <w:t xml:space="preserve">St Andrews was a part of a substantial area given over to the growing of apples, pears and stone fruit, the main agricultural industry in the Diamond Valley region (the area covered by much of the present Nillumbik Shire) from the 1880s to the 1930s. With its soil and climate suited to the growing of fruit, Diamond Valley formed a significant part of the wider fruit-growing region situated to the north and east of Melbourne in the counties of Evelyn, </w:t>
      </w:r>
      <w:proofErr w:type="gramStart"/>
      <w:r>
        <w:t>Bourke</w:t>
      </w:r>
      <w:proofErr w:type="gramEnd"/>
      <w:r>
        <w:t xml:space="preserve"> and Mornington. Orchards and nurseries were established on the hills and in the gullies of the catchments of Diamond Creek and Arthurs Creek, stretching from the township of Diamond Creek, through Hurstbridge, Cottles Bridge, Arthurs Creek and Panton Hill, to the foot of the Kinglake Ranges at </w:t>
      </w:r>
      <w:proofErr w:type="spellStart"/>
      <w:r>
        <w:t>Strathewen</w:t>
      </w:r>
      <w:proofErr w:type="spellEnd"/>
      <w:r>
        <w:t xml:space="preserve"> and Queenstown (now St Andrews) (National Trust Report, ‘</w:t>
      </w:r>
      <w:proofErr w:type="spellStart"/>
      <w:r>
        <w:t>Shaws</w:t>
      </w:r>
      <w:proofErr w:type="spellEnd"/>
      <w:r>
        <w:t xml:space="preserve"> Cool Store, </w:t>
      </w:r>
      <w:proofErr w:type="spellStart"/>
      <w:r>
        <w:t>Cottlesbridge</w:t>
      </w:r>
      <w:proofErr w:type="spellEnd"/>
      <w:r>
        <w:t>’, B6979, cited in Butler 2006:140).</w:t>
      </w:r>
    </w:p>
    <w:p w14:paraId="79482B8B" w14:textId="77777777" w:rsidR="00395559" w:rsidRDefault="00395559" w:rsidP="00395559">
      <w:pPr>
        <w:pStyle w:val="Citation-Bodytext"/>
      </w:pPr>
      <w:r>
        <w:t>As part of the expansion of the fruit industry in the area from the 1880s, due to freehold ownership of land facilitated by the land Acts, St Andrews experienced significant growth, and by 1901 the population of the area had increased to 809 (</w:t>
      </w:r>
      <w:r w:rsidRPr="003611F8">
        <w:rPr>
          <w:rStyle w:val="Citation-Italicscharacterstyle"/>
        </w:rPr>
        <w:t>Victorian Places</w:t>
      </w:r>
      <w:r>
        <w:t xml:space="preserve"> 2015).</w:t>
      </w:r>
    </w:p>
    <w:p w14:paraId="60BB7831" w14:textId="77777777" w:rsidR="00395559" w:rsidRDefault="00395559" w:rsidP="00395559">
      <w:pPr>
        <w:pStyle w:val="Citation-Bodytext"/>
      </w:pPr>
      <w:r>
        <w:t>In 1881 the population of St Andrews and its associated diggings was 1162. However, by the early 1880s goldmining was in decline (</w:t>
      </w:r>
      <w:r w:rsidRPr="003611F8">
        <w:rPr>
          <w:rStyle w:val="Citation-Italicscharacterstyle"/>
        </w:rPr>
        <w:t>Victorian Places</w:t>
      </w:r>
      <w:r>
        <w:t xml:space="preserve"> 2015). </w:t>
      </w:r>
    </w:p>
    <w:p w14:paraId="12FEE405" w14:textId="77777777" w:rsidR="00395559" w:rsidRDefault="00395559" w:rsidP="00395559">
      <w:pPr>
        <w:pStyle w:val="Citation-Bodytext"/>
      </w:pPr>
      <w:r>
        <w:t>In the 1880s some buildings were relocated to what was developing as the centre of town. The Queenstown Mechanics Institute Hall, built in 1883 at Smiths Gully, was moved in 1889 to become St Andrews Hall. It was rebuilt after destruction by fire in 1924 (Reynolds n.d.). The area was mined again during the economic depression of the 1890s when unemployed men were paid by the government to fossick for gold.</w:t>
      </w:r>
    </w:p>
    <w:p w14:paraId="577E3CBA" w14:textId="77777777" w:rsidR="00395559" w:rsidRDefault="00395559" w:rsidP="00395559">
      <w:pPr>
        <w:pStyle w:val="Citation-Bodytext"/>
      </w:pPr>
      <w:r>
        <w:t>The 1903 Australian Handbook described St Andrews, then with a population of 50, including five Chinese residents, as comprising a hotel, State School No. 128, mechanics’ institute, Independent Order of Oddfellows, and Church of England. Two coaches ran daily from Heidelberg. The broader district had a population of 1250 in this year, mostly employed in fruit-growing and mining (</w:t>
      </w:r>
      <w:r w:rsidRPr="003611F8">
        <w:rPr>
          <w:rStyle w:val="Citation-Italicscharacterstyle"/>
        </w:rPr>
        <w:t>Victorian Places</w:t>
      </w:r>
      <w:r>
        <w:t xml:space="preserve"> 2015).</w:t>
      </w:r>
    </w:p>
    <w:p w14:paraId="20EC8C28" w14:textId="77777777" w:rsidR="00395559" w:rsidRDefault="00395559" w:rsidP="00395559">
      <w:pPr>
        <w:pStyle w:val="Citation-Bodytext"/>
      </w:pPr>
      <w:r>
        <w:t xml:space="preserve">In 1912, the railway line was extended between Eltham and Upper Diamond Creek, which aided in the transportation of locally grown fruit crops to Melbourne. </w:t>
      </w:r>
    </w:p>
    <w:p w14:paraId="2DC9932E" w14:textId="77777777" w:rsidR="00395559" w:rsidRDefault="00395559" w:rsidP="00395559">
      <w:pPr>
        <w:pStyle w:val="Citation-Bodytext"/>
      </w:pPr>
      <w:r>
        <w:t xml:space="preserve">Although goldmining had declined in the area, with the advent of technology that allowed deeper exploration, a State-owned gold battery was established in 1919 at nearby Smiths Gully, opposite the </w:t>
      </w:r>
      <w:r>
        <w:lastRenderedPageBreak/>
        <w:t xml:space="preserve">Queenstown (St Andrews) Cemetery (Eltham and Whittlesea Shires Advertiser and Diamond Creek Valley Advocate 5 September 1919:3). </w:t>
      </w:r>
    </w:p>
    <w:p w14:paraId="29200B7A" w14:textId="1A8DF682" w:rsidR="00395559" w:rsidRDefault="00395559" w:rsidP="00395559">
      <w:pPr>
        <w:pStyle w:val="Citation-Bodytext"/>
      </w:pPr>
      <w:r>
        <w:t>In 1920 St Andrews was described as a mining township on Diamond Creek with a state school, church, mechanics’ institute, police station and hotel, with a rail connection to Hurstbridge (Eltham and Whittlesea Shires Advertiser and Diamond Creek Valley Advocate 2 April 1920:4). The St Andrews police quarters were moved to Doncaster East School in 1920 for use as a teacher</w:t>
      </w:r>
      <w:r w:rsidR="00C879EB">
        <w:t>'</w:t>
      </w:r>
      <w:r>
        <w:t xml:space="preserve">s residence (St Andrews/Queenstown Historical Society </w:t>
      </w:r>
      <w:proofErr w:type="spellStart"/>
      <w:r>
        <w:t>nd</w:t>
      </w:r>
      <w:proofErr w:type="spellEnd"/>
      <w:r>
        <w:t xml:space="preserve">). </w:t>
      </w:r>
    </w:p>
    <w:p w14:paraId="4D6510E6" w14:textId="449025F5" w:rsidR="00395559" w:rsidRDefault="00395559" w:rsidP="00395559">
      <w:pPr>
        <w:pStyle w:val="Citation-Bodytext"/>
      </w:pPr>
      <w:r>
        <w:t xml:space="preserve">Increased competition from new fruit-growing areas established in Victoria under irrigation programs after World War I and the impact of the Depression of the 1930s saw many of the district’s orchardists turning to other pursuits such as raising poultry, selling firewood, or supplementing their incomes by working for other landowners or through mining (Nillumbik Shire 2020; ‘Victorian Gold Project’ 1999:14). During the Depression from 1928, men from the city were given a miner’s right and mining sustenance as a form of unemployment relief. In 1931 there were over 200 men camping on Crown land on the Diamond Creek at Queenstown under their miner’s rights (Mills &amp; </w:t>
      </w:r>
      <w:proofErr w:type="spellStart"/>
      <w:r>
        <w:t>Westbrooke</w:t>
      </w:r>
      <w:proofErr w:type="spellEnd"/>
      <w:r>
        <w:t xml:space="preserve"> 2017:33).</w:t>
      </w:r>
    </w:p>
    <w:p w14:paraId="39462FA1" w14:textId="77777777" w:rsidR="00395559" w:rsidRDefault="00395559" w:rsidP="00395559">
      <w:pPr>
        <w:pStyle w:val="Citation-Bodytext"/>
      </w:pPr>
      <w:r>
        <w:t xml:space="preserve">In 1935, the St Andrews Post Office was moved to the new general store building erected opposite the Church of England (Advertiser 13 September 1935:2). </w:t>
      </w:r>
    </w:p>
    <w:p w14:paraId="549E18CA" w14:textId="77777777" w:rsidR="00395559" w:rsidRDefault="00395559" w:rsidP="00395559">
      <w:pPr>
        <w:pStyle w:val="Citation-Bodytext"/>
      </w:pPr>
      <w:r>
        <w:t xml:space="preserve">Bushfires occurred in the area in 1927, and in 1939, the Black Friday bushfires destroyed parts of Eltham, Warrandyte, Panton Hill, St Andrews, </w:t>
      </w:r>
      <w:proofErr w:type="gramStart"/>
      <w:r>
        <w:t>Kinglake</w:t>
      </w:r>
      <w:proofErr w:type="gramEnd"/>
      <w:r>
        <w:t xml:space="preserve"> and Christmas Hills (Eltham District Historical Society 2000:np).</w:t>
      </w:r>
    </w:p>
    <w:p w14:paraId="5029ED66" w14:textId="334EAA2B" w:rsidR="00395559" w:rsidRDefault="00395559" w:rsidP="00395559">
      <w:pPr>
        <w:pStyle w:val="Citation-Bodytext"/>
      </w:pPr>
      <w:r>
        <w:t xml:space="preserve">The town and school name of Queenstown was formally changed to St Andrews in 1952 (St Andrews/Queenstown Historical Society </w:t>
      </w:r>
      <w:proofErr w:type="spellStart"/>
      <w:r>
        <w:t>nd</w:t>
      </w:r>
      <w:proofErr w:type="spellEnd"/>
      <w:r>
        <w:t>).</w:t>
      </w:r>
    </w:p>
    <w:p w14:paraId="73855118" w14:textId="77777777" w:rsidR="00395559" w:rsidRDefault="00395559" w:rsidP="00395559">
      <w:pPr>
        <w:pStyle w:val="Citation-Bodytext"/>
      </w:pPr>
      <w:r>
        <w:t xml:space="preserve">The area became a favoured locale of musicians and artists from the early 1970s. At their initiative, a Saturday morning market, offering alternative culture, crafts, </w:t>
      </w:r>
      <w:proofErr w:type="gramStart"/>
      <w:r>
        <w:t>art</w:t>
      </w:r>
      <w:proofErr w:type="gramEnd"/>
      <w:r>
        <w:t xml:space="preserve"> and accessories as well as organic vegetables and food, was established on the St Andrews Hall reserve in 1972 and continues to run today.</w:t>
      </w:r>
    </w:p>
    <w:p w14:paraId="5C850D43" w14:textId="7DC2397B" w:rsidR="00395559" w:rsidRDefault="00395559" w:rsidP="00395559">
      <w:pPr>
        <w:pStyle w:val="Citation-Bodytext"/>
      </w:pPr>
      <w:r>
        <w:t xml:space="preserve">When a new building was constructed for St Andrews Primary School in 1984, the former school was opened as St Andrews Community Centre (St Andrews/Queenstown Historical Society </w:t>
      </w:r>
      <w:proofErr w:type="spellStart"/>
      <w:r>
        <w:t>nd</w:t>
      </w:r>
      <w:proofErr w:type="spellEnd"/>
      <w:r>
        <w:t>).</w:t>
      </w:r>
    </w:p>
    <w:p w14:paraId="47D16F06" w14:textId="775AB3CE" w:rsidR="00D42458" w:rsidRPr="00D42458" w:rsidRDefault="00395559" w:rsidP="00395559">
      <w:pPr>
        <w:pStyle w:val="Citation-Bodytext"/>
      </w:pPr>
      <w:r>
        <w:t xml:space="preserve">Surrounded by </w:t>
      </w:r>
      <w:proofErr w:type="gramStart"/>
      <w:r>
        <w:t>a number of</w:t>
      </w:r>
      <w:proofErr w:type="gramEnd"/>
      <w:r>
        <w:t xml:space="preserve"> bushland reserves, the St Andrews area has been affected by several significant fires over time. During the Black Saturday bushfires of 2009, properties east of the town were destroyed (</w:t>
      </w:r>
      <w:r w:rsidRPr="006C2275">
        <w:rPr>
          <w:rStyle w:val="Citation-Italicscharacterstyle"/>
        </w:rPr>
        <w:t>Victorian Places</w:t>
      </w:r>
      <w:r>
        <w:t xml:space="preserve"> 2015) and St Andrews Community Centre was established as a relief centre. With funds from the Victorian Bushfire Appeal, the building was redesigned by architect Gregory Burgess, and reopened as </w:t>
      </w:r>
      <w:proofErr w:type="spellStart"/>
      <w:r>
        <w:t>Wadambuk</w:t>
      </w:r>
      <w:proofErr w:type="spellEnd"/>
      <w:r>
        <w:t xml:space="preserve"> Community Centre in 2015. The building is also the home of St Andrews/Queenstown Historical Society (Nillumbik Shire 2015).</w:t>
      </w:r>
    </w:p>
    <w:p w14:paraId="7B6E5231" w14:textId="77163F16" w:rsidR="00EB3BCB" w:rsidRDefault="00EB3BCB" w:rsidP="00EB3BCB">
      <w:pPr>
        <w:pStyle w:val="Citation-Heading3"/>
      </w:pPr>
      <w:r>
        <w:t>PLACE HISTORY</w:t>
      </w:r>
    </w:p>
    <w:p w14:paraId="062E2033" w14:textId="42341C29" w:rsidR="00337370" w:rsidRPr="002923B5" w:rsidRDefault="00A61593" w:rsidP="00E863C7">
      <w:pPr>
        <w:pStyle w:val="Citation-Bodytext"/>
      </w:pPr>
      <w:r w:rsidRPr="00A61593">
        <w:t>St Andrews General Store and House</w:t>
      </w:r>
      <w:r>
        <w:t xml:space="preserve"> at</w:t>
      </w:r>
      <w:r w:rsidR="00337370">
        <w:t xml:space="preserve"> 10 Caledonia Street, St Andrews, is located on Crown Allotment 4, Section 2, Queenstown Township, 2 rood allotments purchased by T Mitchell in 1859 (</w:t>
      </w:r>
      <w:r w:rsidR="00337370" w:rsidRPr="003B5F64">
        <w:rPr>
          <w:i/>
          <w:iCs/>
        </w:rPr>
        <w:t>Queenstown Township Plan</w:t>
      </w:r>
      <w:r w:rsidR="00337370">
        <w:t xml:space="preserve"> 1951).</w:t>
      </w:r>
    </w:p>
    <w:p w14:paraId="3295EAE4" w14:textId="448AACA5" w:rsidR="00337370" w:rsidRDefault="00337370" w:rsidP="00E863C7">
      <w:pPr>
        <w:pStyle w:val="Citation-Bodytext"/>
      </w:pPr>
      <w:r>
        <w:t xml:space="preserve">The original Queenstown post office and general store </w:t>
      </w:r>
      <w:proofErr w:type="gramStart"/>
      <w:r>
        <w:t>were located in</w:t>
      </w:r>
      <w:proofErr w:type="gramEnd"/>
      <w:r>
        <w:t xml:space="preserve"> the St Andrews </w:t>
      </w:r>
      <w:r w:rsidR="00326706">
        <w:t>H</w:t>
      </w:r>
      <w:r>
        <w:t xml:space="preserve">otel (St Andrews Primary School Council 1998:136). By 1893, W Atkins was </w:t>
      </w:r>
      <w:r w:rsidRPr="00E863C7">
        <w:t>running</w:t>
      </w:r>
      <w:r>
        <w:t xml:space="preserve"> the Queenstown Post Office Store (</w:t>
      </w:r>
      <w:r w:rsidRPr="000B05E4">
        <w:rPr>
          <w:i/>
          <w:iCs/>
        </w:rPr>
        <w:t>Leader</w:t>
      </w:r>
      <w:r>
        <w:t xml:space="preserve"> 11 February 1893:4).</w:t>
      </w:r>
    </w:p>
    <w:p w14:paraId="3C6106AB" w14:textId="77777777" w:rsidR="00337370" w:rsidRDefault="00337370" w:rsidP="00E863C7">
      <w:pPr>
        <w:pStyle w:val="Citation-Bodytext"/>
      </w:pPr>
      <w:r>
        <w:t xml:space="preserve">In July 1935, the Hurstbridge </w:t>
      </w:r>
      <w:r w:rsidRPr="0041628A">
        <w:rPr>
          <w:i/>
          <w:iCs/>
        </w:rPr>
        <w:t>Advertiser</w:t>
      </w:r>
      <w:r>
        <w:t xml:space="preserve"> reported that </w:t>
      </w:r>
    </w:p>
    <w:p w14:paraId="71499FCA" w14:textId="77777777" w:rsidR="00337370" w:rsidRPr="0041628A" w:rsidRDefault="00337370" w:rsidP="00337370">
      <w:pPr>
        <w:pStyle w:val="Quotes"/>
        <w:rPr>
          <w:iCs/>
        </w:rPr>
      </w:pPr>
      <w:r>
        <w:lastRenderedPageBreak/>
        <w:t xml:space="preserve">A new grocery store is being built to the order of Mrs N. </w:t>
      </w:r>
      <w:proofErr w:type="spellStart"/>
      <w:r>
        <w:t>Rickaby</w:t>
      </w:r>
      <w:proofErr w:type="spellEnd"/>
      <w:r>
        <w:t xml:space="preserve">, now of the St. Andrew's hotel. The store is being built opposite the Church of England and is a long wanted addition to the district. A house will also be built on to the shop </w:t>
      </w:r>
      <w:r>
        <w:rPr>
          <w:i w:val="0"/>
          <w:iCs/>
        </w:rPr>
        <w:t>(</w:t>
      </w:r>
      <w:r>
        <w:t>A</w:t>
      </w:r>
      <w:r w:rsidRPr="0041628A">
        <w:rPr>
          <w:iCs/>
        </w:rPr>
        <w:t xml:space="preserve">dvertiser </w:t>
      </w:r>
      <w:r w:rsidRPr="0041628A">
        <w:rPr>
          <w:i w:val="0"/>
        </w:rPr>
        <w:t>26 July 1935:2).</w:t>
      </w:r>
    </w:p>
    <w:p w14:paraId="30840823" w14:textId="6C16EE31" w:rsidR="00337370" w:rsidRDefault="00337370" w:rsidP="00E863C7">
      <w:pPr>
        <w:pStyle w:val="Citation-Bodytext"/>
      </w:pPr>
      <w:r>
        <w:t xml:space="preserve">The Queenstown Post Office moved to the building in September of the same year, with D </w:t>
      </w:r>
      <w:proofErr w:type="spellStart"/>
      <w:r>
        <w:t>Rickaby</w:t>
      </w:r>
      <w:proofErr w:type="spellEnd"/>
      <w:r>
        <w:t xml:space="preserve"> appointed postmaster (</w:t>
      </w:r>
      <w:r w:rsidR="00665BD3">
        <w:fldChar w:fldCharType="begin"/>
      </w:r>
      <w:r w:rsidR="00665BD3">
        <w:instrText xml:space="preserve"> REF _Ref73433888 \h </w:instrText>
      </w:r>
      <w:r w:rsidR="00665BD3">
        <w:fldChar w:fldCharType="separate"/>
      </w:r>
      <w:r w:rsidR="00665BD3">
        <w:t xml:space="preserve">Figure </w:t>
      </w:r>
      <w:r w:rsidR="00665BD3">
        <w:rPr>
          <w:noProof/>
        </w:rPr>
        <w:t>3</w:t>
      </w:r>
      <w:r w:rsidR="00665BD3">
        <w:fldChar w:fldCharType="end"/>
      </w:r>
      <w:r>
        <w:t>) (</w:t>
      </w:r>
      <w:r w:rsidRPr="000B05E4">
        <w:rPr>
          <w:i/>
          <w:iCs/>
        </w:rPr>
        <w:t>Advertiser</w:t>
      </w:r>
      <w:r>
        <w:t xml:space="preserve"> 13 September 1935:2 and 18 October 1935:3). </w:t>
      </w:r>
    </w:p>
    <w:p w14:paraId="5438F504" w14:textId="46BCB9EC" w:rsidR="00337370" w:rsidRDefault="00337370" w:rsidP="00E863C7">
      <w:pPr>
        <w:pStyle w:val="Citation-Bodytext"/>
      </w:pPr>
      <w:r>
        <w:t xml:space="preserve">The store and post office were owned by the </w:t>
      </w:r>
      <w:proofErr w:type="spellStart"/>
      <w:r>
        <w:t>Rickabys</w:t>
      </w:r>
      <w:proofErr w:type="spellEnd"/>
      <w:r>
        <w:t xml:space="preserve"> until 1938, when the premises were acquired by Albert Fawcett, who employed Ray Rogers and Son in the same year to undertake additions to the building. Fawcett sold the business in 1939, and it was noted in a newspaper report of the day that he would be staying on in the district as he had just built a new house adjoining the store, likely the current residence at 12 Caledonia Street (</w:t>
      </w:r>
      <w:r w:rsidR="00665BD3">
        <w:fldChar w:fldCharType="begin"/>
      </w:r>
      <w:r w:rsidR="00665BD3">
        <w:instrText xml:space="preserve"> REF _Ref73433888 \h </w:instrText>
      </w:r>
      <w:r w:rsidR="00665BD3">
        <w:fldChar w:fldCharType="separate"/>
      </w:r>
      <w:r w:rsidR="00665BD3">
        <w:t xml:space="preserve">Figure </w:t>
      </w:r>
      <w:r w:rsidR="00665BD3">
        <w:rPr>
          <w:noProof/>
        </w:rPr>
        <w:t>3</w:t>
      </w:r>
      <w:r w:rsidR="00665BD3">
        <w:fldChar w:fldCharType="end"/>
      </w:r>
      <w:r>
        <w:t>) (</w:t>
      </w:r>
      <w:r w:rsidRPr="000B05E4">
        <w:rPr>
          <w:i/>
          <w:iCs/>
        </w:rPr>
        <w:t>Advertiser</w:t>
      </w:r>
      <w:r>
        <w:t xml:space="preserve"> 18 March 1938:1; 8 April 1938:2; and 3 February 1939:5). </w:t>
      </w:r>
    </w:p>
    <w:p w14:paraId="281C6D2D" w14:textId="77777777" w:rsidR="00337370" w:rsidRDefault="00337370" w:rsidP="00E863C7">
      <w:pPr>
        <w:pStyle w:val="Citation-Bodytext"/>
      </w:pPr>
      <w:r>
        <w:t xml:space="preserve">A certificate of title dated 1940 confirms that Albert Fredrick Fawcett was the owner of both Crown Allotment 4 and 5 in that year (CT:V6350 F871). </w:t>
      </w:r>
    </w:p>
    <w:p w14:paraId="65951F34" w14:textId="0A037D2C" w:rsidR="00337370" w:rsidRDefault="00337370" w:rsidP="00E863C7">
      <w:pPr>
        <w:pStyle w:val="Citation-Bodytext"/>
      </w:pPr>
      <w:r>
        <w:t>In 1944, Crown Allotment 4, on which the subject building is located</w:t>
      </w:r>
      <w:r w:rsidR="00826D85">
        <w:t xml:space="preserve">, </w:t>
      </w:r>
      <w:r>
        <w:t>was sold to storekeeper John Hade</w:t>
      </w:r>
      <w:r w:rsidR="00826D85">
        <w:t xml:space="preserve">. </w:t>
      </w:r>
      <w:r>
        <w:t xml:space="preserve"> </w:t>
      </w:r>
      <w:r w:rsidR="00826D85">
        <w:t>In</w:t>
      </w:r>
      <w:r>
        <w:t xml:space="preserve"> 1945, Crown Allotment 5, on which Fawcett’s residence stood (12 Caledonia Street), was sold to Edwin Brooks (CT:V6350 F871).</w:t>
      </w:r>
    </w:p>
    <w:p w14:paraId="24DAEF26" w14:textId="7E7087B7" w:rsidR="00337370" w:rsidRDefault="00337370" w:rsidP="00E863C7">
      <w:pPr>
        <w:pStyle w:val="Citation-Bodytext"/>
      </w:pPr>
      <w:proofErr w:type="gramStart"/>
      <w:r>
        <w:t>A number of</w:t>
      </w:r>
      <w:proofErr w:type="gramEnd"/>
      <w:r>
        <w:t xml:space="preserve"> people took over ownership of the store and post office on Crown Allotment 4 in the 1940s and 1950s, including newsagent Geoffrey Tatham in 1947; storekeepers Frank and Rose Eldred in 1950; engineer Alexander Moore in 1950; and accountant Alexander McCutcheon in 1951 (CT:V6699 F612).</w:t>
      </w:r>
    </w:p>
    <w:p w14:paraId="3E137EE0" w14:textId="0F235048" w:rsidR="00D66965" w:rsidRDefault="00D66965" w:rsidP="00E863C7">
      <w:pPr>
        <w:pStyle w:val="Citation-Bodytext"/>
      </w:pPr>
      <w:r>
        <w:t>By 1954, the configuration of the steps</w:t>
      </w:r>
      <w:r w:rsidR="00B64AC3">
        <w:t xml:space="preserve"> to the entry</w:t>
      </w:r>
      <w:r>
        <w:t xml:space="preserve"> had changed</w:t>
      </w:r>
      <w:r w:rsidR="00B64AC3">
        <w:t xml:space="preserve"> and </w:t>
      </w:r>
      <w:r w:rsidR="00B97624">
        <w:t xml:space="preserve">appears to have </w:t>
      </w:r>
      <w:r w:rsidR="00B64AC3" w:rsidRPr="00B64AC3">
        <w:t>be</w:t>
      </w:r>
      <w:r w:rsidR="00B97624">
        <w:t>en</w:t>
      </w:r>
      <w:r w:rsidR="00B64AC3" w:rsidRPr="00B64AC3">
        <w:t xml:space="preserve"> constructed in timber with diagonal lattice balustrade</w:t>
      </w:r>
      <w:r w:rsidR="00B97624">
        <w:t xml:space="preserve"> (</w:t>
      </w:r>
      <w:r w:rsidR="00B97624">
        <w:fldChar w:fldCharType="begin"/>
      </w:r>
      <w:r w:rsidR="00B97624">
        <w:instrText xml:space="preserve"> REF _Ref73433888 \h </w:instrText>
      </w:r>
      <w:r w:rsidR="00B97624">
        <w:fldChar w:fldCharType="separate"/>
      </w:r>
      <w:r w:rsidR="00886D53">
        <w:t xml:space="preserve">Figure </w:t>
      </w:r>
      <w:r w:rsidR="00886D53">
        <w:rPr>
          <w:noProof/>
        </w:rPr>
        <w:t>4</w:t>
      </w:r>
      <w:r w:rsidR="00B97624">
        <w:fldChar w:fldCharType="end"/>
      </w:r>
      <w:r w:rsidR="00B97624">
        <w:t>). This configuration remains extant.</w:t>
      </w:r>
    </w:p>
    <w:p w14:paraId="7E1555CC" w14:textId="4A204686" w:rsidR="00337370" w:rsidRDefault="00337370" w:rsidP="00E863C7">
      <w:pPr>
        <w:pStyle w:val="Citation-Bodytext"/>
      </w:pPr>
      <w:r>
        <w:t>In 1969, Eric and Betty Kerr became the owners</w:t>
      </w:r>
      <w:r w:rsidR="00B250C6">
        <w:t>. The Kerr</w:t>
      </w:r>
      <w:r>
        <w:t xml:space="preserve"> family </w:t>
      </w:r>
      <w:r w:rsidR="00B250C6">
        <w:t xml:space="preserve">ran </w:t>
      </w:r>
      <w:r>
        <w:t>the store and post office until 1979,</w:t>
      </w:r>
      <w:r w:rsidR="00423635">
        <w:t xml:space="preserve"> when </w:t>
      </w:r>
      <w:r>
        <w:t xml:space="preserve">the </w:t>
      </w:r>
      <w:proofErr w:type="spellStart"/>
      <w:r>
        <w:t>McVicars</w:t>
      </w:r>
      <w:proofErr w:type="spellEnd"/>
      <w:r>
        <w:t xml:space="preserve"> took over ownership</w:t>
      </w:r>
      <w:r w:rsidR="00423635">
        <w:t xml:space="preserve">. The </w:t>
      </w:r>
      <w:proofErr w:type="spellStart"/>
      <w:r w:rsidR="00423635">
        <w:t>McVicars</w:t>
      </w:r>
      <w:proofErr w:type="spellEnd"/>
      <w:r w:rsidR="00423635">
        <w:t xml:space="preserve"> sold the </w:t>
      </w:r>
      <w:r w:rsidR="00385951">
        <w:t xml:space="preserve">store and post </w:t>
      </w:r>
      <w:r w:rsidR="001701FC">
        <w:t>office in</w:t>
      </w:r>
      <w:r>
        <w:t xml:space="preserve"> 1986 (CT:V6699 F612).</w:t>
      </w:r>
    </w:p>
    <w:p w14:paraId="30F5576C" w14:textId="77777777" w:rsidR="0048110C" w:rsidRDefault="0048110C" w:rsidP="0048110C">
      <w:pPr>
        <w:pStyle w:val="Citation-Bodytext"/>
      </w:pPr>
      <w:r>
        <w:t>An advertisement for the sale of the St Andrews General Store in 1995, by then a milk bar, described the building as a store and two-bedroom modern mudbrick residence on one half acre (</w:t>
      </w:r>
      <w:r w:rsidRPr="000B05E4">
        <w:rPr>
          <w:i/>
          <w:iCs/>
        </w:rPr>
        <w:t>Age</w:t>
      </w:r>
      <w:r>
        <w:t xml:space="preserve"> 11 February 1995:94).</w:t>
      </w:r>
    </w:p>
    <w:p w14:paraId="4F2785F4" w14:textId="77777777" w:rsidR="0048110C" w:rsidRDefault="0048110C" w:rsidP="0048110C">
      <w:pPr>
        <w:pStyle w:val="Citation-Bodytext"/>
      </w:pPr>
      <w:r>
        <w:t>The subject building today houses the St Andrews General Store, an Australian Post outlet, and cafe. A two-bedroom mudbrick residence is located at the rear of the building and is likely to have been constructed after 1968.</w:t>
      </w:r>
    </w:p>
    <w:p w14:paraId="6FD5D0B2" w14:textId="77777777" w:rsidR="0048110C" w:rsidRPr="005A21EE" w:rsidRDefault="0048110C" w:rsidP="00E863C7">
      <w:pPr>
        <w:pStyle w:val="Citation-Bodytext"/>
      </w:pPr>
    </w:p>
    <w:p w14:paraId="138980E0" w14:textId="77777777" w:rsidR="00337370" w:rsidRDefault="00337370" w:rsidP="00337370">
      <w:pPr>
        <w:pStyle w:val="Bullet"/>
        <w:numPr>
          <w:ilvl w:val="0"/>
          <w:numId w:val="0"/>
        </w:numPr>
      </w:pPr>
      <w:r w:rsidRPr="000B05E4">
        <w:rPr>
          <w:noProof/>
        </w:rPr>
        <w:lastRenderedPageBreak/>
        <w:drawing>
          <wp:inline distT="0" distB="0" distL="0" distR="0" wp14:anchorId="68E1960C" wp14:editId="31464338">
            <wp:extent cx="5420586" cy="313200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0586" cy="3132000"/>
                    </a:xfrm>
                    <a:prstGeom prst="rect">
                      <a:avLst/>
                    </a:prstGeom>
                  </pic:spPr>
                </pic:pic>
              </a:graphicData>
            </a:graphic>
          </wp:inline>
        </w:drawing>
      </w:r>
    </w:p>
    <w:p w14:paraId="1D21DE54" w14:textId="3806AC53" w:rsidR="00337370" w:rsidRPr="00F01390" w:rsidRDefault="00337370" w:rsidP="00B04898">
      <w:pPr>
        <w:pStyle w:val="Citation-Caption"/>
        <w:rPr>
          <w:color w:val="FF0000"/>
        </w:rPr>
      </w:pPr>
      <w:r>
        <w:t xml:space="preserve">Figure </w:t>
      </w:r>
      <w:fldSimple w:instr=" SEQ Figure \* ARABIC ">
        <w:r w:rsidR="00E8045D">
          <w:rPr>
            <w:noProof/>
          </w:rPr>
          <w:t>3</w:t>
        </w:r>
      </w:fldSimple>
      <w:r>
        <w:t xml:space="preserve">. St Andrews Post Office and Store, </w:t>
      </w:r>
      <w:r w:rsidR="006C4C98">
        <w:t>c</w:t>
      </w:r>
      <w:r>
        <w:t>1930s</w:t>
      </w:r>
      <w:r w:rsidR="006C4C98">
        <w:t>.</w:t>
      </w:r>
      <w:r>
        <w:t xml:space="preserve"> (Source: Facebook 2021</w:t>
      </w:r>
      <w:r w:rsidR="006C4C98">
        <w:t>)</w:t>
      </w:r>
    </w:p>
    <w:p w14:paraId="375B04E6" w14:textId="77777777" w:rsidR="00337370" w:rsidRDefault="00337370" w:rsidP="00337370">
      <w:pPr>
        <w:pStyle w:val="Bullet"/>
        <w:numPr>
          <w:ilvl w:val="0"/>
          <w:numId w:val="0"/>
        </w:numPr>
      </w:pPr>
      <w:r w:rsidRPr="00EF4A2A">
        <w:rPr>
          <w:noProof/>
        </w:rPr>
        <w:drawing>
          <wp:inline distT="0" distB="0" distL="0" distR="0" wp14:anchorId="6F8D94A8" wp14:editId="0EABD7FE">
            <wp:extent cx="3240000" cy="20830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0000" cy="2083098"/>
                    </a:xfrm>
                    <a:prstGeom prst="rect">
                      <a:avLst/>
                    </a:prstGeom>
                  </pic:spPr>
                </pic:pic>
              </a:graphicData>
            </a:graphic>
          </wp:inline>
        </w:drawing>
      </w:r>
      <w:r w:rsidRPr="005E6ECF">
        <w:rPr>
          <w:noProof/>
        </w:rPr>
        <w:drawing>
          <wp:inline distT="0" distB="0" distL="0" distR="0" wp14:anchorId="28467C9E" wp14:editId="51B77779">
            <wp:extent cx="3240000" cy="21391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0000" cy="2139196"/>
                    </a:xfrm>
                    <a:prstGeom prst="rect">
                      <a:avLst/>
                    </a:prstGeom>
                  </pic:spPr>
                </pic:pic>
              </a:graphicData>
            </a:graphic>
          </wp:inline>
        </w:drawing>
      </w:r>
    </w:p>
    <w:p w14:paraId="39D7B0DD" w14:textId="1D638BD5" w:rsidR="00337370" w:rsidRDefault="00337370" w:rsidP="00B04898">
      <w:pPr>
        <w:pStyle w:val="Citation-Caption"/>
        <w:rPr>
          <w:color w:val="FF0000"/>
        </w:rPr>
      </w:pPr>
      <w:bookmarkStart w:id="1" w:name="_Ref73433888"/>
      <w:r>
        <w:t xml:space="preserve">Figure </w:t>
      </w:r>
      <w:fldSimple w:instr=" SEQ Figure \* ARABIC ">
        <w:r w:rsidR="00E8045D">
          <w:rPr>
            <w:noProof/>
          </w:rPr>
          <w:t>4</w:t>
        </w:r>
      </w:fldSimple>
      <w:bookmarkEnd w:id="1"/>
      <w:r>
        <w:t xml:space="preserve">. Images of the St Andrews Post Office and Store in 1954, showing </w:t>
      </w:r>
      <w:proofErr w:type="spellStart"/>
      <w:r>
        <w:t>Rickaby’s</w:t>
      </w:r>
      <w:proofErr w:type="spellEnd"/>
      <w:r>
        <w:t xml:space="preserve"> store built in 1935 at 10 Caledonia Street and Fawcett’s house, at 12 Caledonia Street, to the left of the store in the LHS photo.</w:t>
      </w:r>
      <w:r w:rsidR="00EE65A0">
        <w:t xml:space="preserve"> The </w:t>
      </w:r>
      <w:r w:rsidR="0042398D">
        <w:t>configuration</w:t>
      </w:r>
      <w:r w:rsidR="00D66965">
        <w:t xml:space="preserve"> of the steps have changed by this time.</w:t>
      </w:r>
      <w:r>
        <w:t xml:space="preserve"> (Source: NAA 1954 </w:t>
      </w:r>
      <w:r>
        <w:rPr>
          <w:color w:val="FF0000"/>
        </w:rPr>
        <w:t>In copyright</w:t>
      </w:r>
      <w:r>
        <w:t xml:space="preserve">). </w:t>
      </w:r>
    </w:p>
    <w:p w14:paraId="22A8E8CD" w14:textId="722C0778" w:rsidR="00337370" w:rsidRDefault="00337370" w:rsidP="00337370"/>
    <w:p w14:paraId="050E9FF8" w14:textId="6A793530" w:rsidR="002C7AC9" w:rsidRDefault="00665BD3" w:rsidP="002C7AC9">
      <w:pPr>
        <w:keepNext/>
      </w:pPr>
      <w:r>
        <w:rPr>
          <w:noProof/>
        </w:rPr>
        <w:lastRenderedPageBreak/>
        <mc:AlternateContent>
          <mc:Choice Requires="wps">
            <w:drawing>
              <wp:anchor distT="0" distB="0" distL="114300" distR="114300" simplePos="0" relativeHeight="251658240" behindDoc="0" locked="0" layoutInCell="1" allowOverlap="1" wp14:anchorId="6CA5E961" wp14:editId="524A0BD1">
                <wp:simplePos x="0" y="0"/>
                <wp:positionH relativeFrom="column">
                  <wp:posOffset>1304925</wp:posOffset>
                </wp:positionH>
                <wp:positionV relativeFrom="paragraph">
                  <wp:posOffset>1571625</wp:posOffset>
                </wp:positionV>
                <wp:extent cx="1057275" cy="990600"/>
                <wp:effectExtent l="19050" t="19050" r="47625" b="38100"/>
                <wp:wrapNone/>
                <wp:docPr id="11" name="Freeform: Shape 11"/>
                <wp:cNvGraphicFramePr/>
                <a:graphic xmlns:a="http://schemas.openxmlformats.org/drawingml/2006/main">
                  <a:graphicData uri="http://schemas.microsoft.com/office/word/2010/wordprocessingShape">
                    <wps:wsp>
                      <wps:cNvSpPr/>
                      <wps:spPr>
                        <a:xfrm>
                          <a:off x="0" y="0"/>
                          <a:ext cx="1057275" cy="990600"/>
                        </a:xfrm>
                        <a:custGeom>
                          <a:avLst/>
                          <a:gdLst>
                            <a:gd name="connsiteX0" fmla="*/ 409575 w 1057275"/>
                            <a:gd name="connsiteY0" fmla="*/ 0 h 990600"/>
                            <a:gd name="connsiteX1" fmla="*/ 1057275 w 1057275"/>
                            <a:gd name="connsiteY1" fmla="*/ 552450 h 990600"/>
                            <a:gd name="connsiteX2" fmla="*/ 619125 w 1057275"/>
                            <a:gd name="connsiteY2" fmla="*/ 990600 h 990600"/>
                            <a:gd name="connsiteX3" fmla="*/ 0 w 1057275"/>
                            <a:gd name="connsiteY3" fmla="*/ 457200 h 990600"/>
                            <a:gd name="connsiteX4" fmla="*/ 409575 w 1057275"/>
                            <a:gd name="connsiteY4" fmla="*/ 0 h 990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7275" h="990600">
                              <a:moveTo>
                                <a:pt x="409575" y="0"/>
                              </a:moveTo>
                              <a:lnTo>
                                <a:pt x="1057275" y="552450"/>
                              </a:lnTo>
                              <a:lnTo>
                                <a:pt x="619125" y="990600"/>
                              </a:lnTo>
                              <a:lnTo>
                                <a:pt x="0" y="457200"/>
                              </a:lnTo>
                              <a:lnTo>
                                <a:pt x="409575" y="0"/>
                              </a:lnTo>
                              <a:close/>
                            </a:path>
                          </a:pathLst>
                        </a:custGeom>
                        <a:noFill/>
                        <a:ln w="1905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51D6515" id="Freeform: Shape 11" o:spid="_x0000_s1026" style="position:absolute;margin-left:102.75pt;margin-top:123.75pt;width:83.2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57275,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" path="m409575,r647700,552450l619125,990600,,457200,409575,xe" filled="f" strokecolor="#ffc000" strokeweight="1.5pt">
                <v:stroke dashstyle="3 1" joinstyle="miter"/>
                <v:path arrowok="t" o:connecttype="custom" o:connectlocs="409575,0;1057275,552450;619125,990600;0,457200;409575,0" o:connectangles="0,0,0,0,0"/>
              </v:shape>
            </w:pict>
          </mc:Fallback>
        </mc:AlternateContent>
      </w:r>
      <w:r w:rsidR="002C7AC9">
        <w:rPr>
          <w:noProof/>
        </w:rPr>
        <w:drawing>
          <wp:inline distT="0" distB="0" distL="0" distR="0" wp14:anchorId="588DB357" wp14:editId="5F458890">
            <wp:extent cx="3906982" cy="3390154"/>
            <wp:effectExtent l="0" t="0" r="0" b="1270"/>
            <wp:docPr id="23" name="Picture 23" descr="A picture containing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outdoor object&#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915173" cy="3397261"/>
                    </a:xfrm>
                    <a:prstGeom prst="rect">
                      <a:avLst/>
                    </a:prstGeom>
                    <a:ln>
                      <a:noFill/>
                    </a:ln>
                    <a:extLst>
                      <a:ext uri="{53640926-AAD7-44D8-BBD7-CCE9431645EC}">
                        <a14:shadowObscured xmlns:a14="http://schemas.microsoft.com/office/drawing/2010/main"/>
                      </a:ext>
                    </a:extLst>
                  </pic:spPr>
                </pic:pic>
              </a:graphicData>
            </a:graphic>
          </wp:inline>
        </w:drawing>
      </w:r>
    </w:p>
    <w:p w14:paraId="1E277318" w14:textId="6839D95D" w:rsidR="002C7AC9" w:rsidRDefault="002C7AC9" w:rsidP="002C7AC9">
      <w:pPr>
        <w:pStyle w:val="Citation-Caption"/>
      </w:pPr>
      <w:r>
        <w:t xml:space="preserve">Figure </w:t>
      </w:r>
      <w:fldSimple w:instr=" SEQ Figure \* ARABIC ">
        <w:r w:rsidR="00E8045D">
          <w:rPr>
            <w:noProof/>
          </w:rPr>
          <w:t>5</w:t>
        </w:r>
      </w:fldSimple>
      <w:r>
        <w:t xml:space="preserve">. </w:t>
      </w:r>
      <w:r w:rsidR="001A6548">
        <w:t xml:space="preserve">The subject site in 1968. The roof </w:t>
      </w:r>
      <w:r w:rsidR="00C241E3">
        <w:t>of the rear additions appear different from</w:t>
      </w:r>
      <w:r w:rsidR="004F3882">
        <w:t xml:space="preserve"> th</w:t>
      </w:r>
      <w:r w:rsidR="006E50D6">
        <w:t xml:space="preserve">at of the mudbrick extension. </w:t>
      </w:r>
      <w:r w:rsidR="002934B3">
        <w:t xml:space="preserve">The buildings on the subject site are </w:t>
      </w:r>
      <w:r w:rsidR="008755AD">
        <w:t>approximately outlined in orange.</w:t>
      </w:r>
      <w:r w:rsidR="006E50D6">
        <w:t xml:space="preserve"> (Source:</w:t>
      </w:r>
      <w:r w:rsidR="00E63F9E" w:rsidRPr="00E63F9E">
        <w:t xml:space="preserve"> </w:t>
      </w:r>
      <w:r w:rsidR="00EF1E9B">
        <w:t xml:space="preserve">CPO, </w:t>
      </w:r>
      <w:r w:rsidR="007819C2">
        <w:t>‘</w:t>
      </w:r>
      <w:r w:rsidR="00E63F9E" w:rsidRPr="00E63F9E">
        <w:t>MELBOURNE 1968 PROJECT</w:t>
      </w:r>
      <w:r w:rsidR="007819C2">
        <w:t>’</w:t>
      </w:r>
      <w:r w:rsidR="006E50D6">
        <w:t xml:space="preserve">, via </w:t>
      </w:r>
      <w:proofErr w:type="spellStart"/>
      <w:r w:rsidR="006E50D6">
        <w:t>Landata</w:t>
      </w:r>
      <w:proofErr w:type="spellEnd"/>
      <w:r w:rsidR="006E50D6">
        <w:t>)</w:t>
      </w:r>
      <w:r w:rsidR="00C241E3">
        <w:t xml:space="preserve"> </w:t>
      </w:r>
    </w:p>
    <w:p w14:paraId="068F91D5" w14:textId="77777777" w:rsidR="00EB3BCB" w:rsidRDefault="00EB3BCB" w:rsidP="00EB3BCB">
      <w:pPr>
        <w:pStyle w:val="Citation-Heading3"/>
      </w:pPr>
      <w:r>
        <w:t>DESCRIPTION</w:t>
      </w:r>
    </w:p>
    <w:p w14:paraId="4CDA5A77" w14:textId="6CBCDBBA" w:rsidR="00006D97" w:rsidRPr="00E863C7" w:rsidRDefault="006311A3" w:rsidP="00E863C7">
      <w:pPr>
        <w:pStyle w:val="Citation-Bodytext"/>
      </w:pPr>
      <w:r w:rsidRPr="00E863C7">
        <w:t>St Andrews General Store at 10 Caledonia Street, St Andrews</w:t>
      </w:r>
      <w:r w:rsidR="0048110C">
        <w:t>,</w:t>
      </w:r>
      <w:r w:rsidRPr="00E863C7">
        <w:t xml:space="preserve"> is a</w:t>
      </w:r>
      <w:r w:rsidR="00C97F67" w:rsidRPr="00E863C7">
        <w:t>n interwar</w:t>
      </w:r>
      <w:r w:rsidRPr="00E863C7">
        <w:t xml:space="preserve"> shop</w:t>
      </w:r>
      <w:r w:rsidR="00C97F67" w:rsidRPr="00E863C7">
        <w:t xml:space="preserve"> and residence</w:t>
      </w:r>
      <w:r w:rsidRPr="00E863C7">
        <w:t xml:space="preserve"> built in </w:t>
      </w:r>
      <w:r w:rsidR="00F807B9" w:rsidRPr="00E863C7">
        <w:t>1935</w:t>
      </w:r>
      <w:r w:rsidR="00C97F67" w:rsidRPr="00E863C7">
        <w:t>, with a later</w:t>
      </w:r>
      <w:r w:rsidR="0048110C">
        <w:t xml:space="preserve"> (post-1968) </w:t>
      </w:r>
      <w:r w:rsidR="00C97F67" w:rsidRPr="00E863C7">
        <w:t xml:space="preserve">mudbrick </w:t>
      </w:r>
      <w:r w:rsidR="00BF4D28" w:rsidRPr="00E863C7">
        <w:t>extension to the rear.</w:t>
      </w:r>
    </w:p>
    <w:p w14:paraId="7E1D8D80" w14:textId="2E996B25" w:rsidR="007B073D" w:rsidRPr="00E863C7" w:rsidRDefault="006311A3" w:rsidP="00E863C7">
      <w:pPr>
        <w:pStyle w:val="Citation-Bodytext"/>
      </w:pPr>
      <w:r w:rsidRPr="00E863C7">
        <w:t xml:space="preserve">Located on the southern side of Caledonia Street, near Waratah </w:t>
      </w:r>
      <w:r w:rsidR="004131C0">
        <w:t>S</w:t>
      </w:r>
      <w:r w:rsidR="00EF2810" w:rsidRPr="00E863C7">
        <w:t>treet, the L-shaped site rises to the rear (south)</w:t>
      </w:r>
      <w:r w:rsidR="00C14462" w:rsidRPr="00E863C7">
        <w:t xml:space="preserve"> (</w:t>
      </w:r>
      <w:r w:rsidR="00C14462" w:rsidRPr="00E863C7">
        <w:fldChar w:fldCharType="begin"/>
      </w:r>
      <w:r w:rsidR="00C14462" w:rsidRPr="00E863C7">
        <w:instrText xml:space="preserve"> REF _Ref70921645 \h </w:instrText>
      </w:r>
      <w:r w:rsidR="00E863C7">
        <w:instrText xml:space="preserve"> \* MERGEFORMAT </w:instrText>
      </w:r>
      <w:r w:rsidR="00C14462" w:rsidRPr="00E863C7">
        <w:fldChar w:fldCharType="separate"/>
      </w:r>
      <w:r w:rsidR="00913382">
        <w:t>Figure 5</w:t>
      </w:r>
      <w:r w:rsidR="00C14462" w:rsidRPr="00E863C7">
        <w:fldChar w:fldCharType="end"/>
      </w:r>
      <w:r w:rsidR="00C14462" w:rsidRPr="00E863C7">
        <w:t>)</w:t>
      </w:r>
      <w:r w:rsidR="00EF2810" w:rsidRPr="00E863C7">
        <w:t>. The footprint of the shop and attached mudbrick dwelling is stepped</w:t>
      </w:r>
      <w:r w:rsidR="005B1956">
        <w:t xml:space="preserve"> (</w:t>
      </w:r>
      <w:r w:rsidR="005B1956">
        <w:fldChar w:fldCharType="begin"/>
      </w:r>
      <w:r w:rsidR="005B1956">
        <w:instrText xml:space="preserve"> REF _Ref73434136 \h </w:instrText>
      </w:r>
      <w:r w:rsidR="005B1956">
        <w:fldChar w:fldCharType="separate"/>
      </w:r>
      <w:r w:rsidR="005B1956">
        <w:t xml:space="preserve">Figure </w:t>
      </w:r>
      <w:r w:rsidR="005B1956">
        <w:rPr>
          <w:noProof/>
        </w:rPr>
        <w:t>8</w:t>
      </w:r>
      <w:r w:rsidR="005B1956">
        <w:fldChar w:fldCharType="end"/>
      </w:r>
      <w:r w:rsidR="005B1956">
        <w:t>)</w:t>
      </w:r>
      <w:r w:rsidR="00EF2810" w:rsidRPr="00E863C7">
        <w:t xml:space="preserve">, but broadly rectangular, sitting snugly in the northern portion of the site </w:t>
      </w:r>
      <w:r w:rsidR="00AF291D">
        <w:t>with zero setback</w:t>
      </w:r>
      <w:r w:rsidR="00AF291D" w:rsidRPr="00E863C7">
        <w:t xml:space="preserve"> </w:t>
      </w:r>
      <w:r w:rsidR="00EF2810" w:rsidRPr="00E863C7">
        <w:t xml:space="preserve">to Caledonia Street. </w:t>
      </w:r>
      <w:r w:rsidR="007B073D" w:rsidRPr="00E863C7">
        <w:t>The building is</w:t>
      </w:r>
      <w:r w:rsidR="00AF291D">
        <w:t xml:space="preserve"> a</w:t>
      </w:r>
      <w:r w:rsidR="007B073D" w:rsidRPr="00E863C7">
        <w:t xml:space="preserve"> single-story gable-roofed weatherboard clad shop</w:t>
      </w:r>
      <w:r w:rsidR="008D7E6A">
        <w:t>. A</w:t>
      </w:r>
      <w:r w:rsidR="007B073D" w:rsidRPr="00E863C7">
        <w:t xml:space="preserve"> skillion roofed mudbrick residence</w:t>
      </w:r>
      <w:r w:rsidR="008D7E6A">
        <w:t xml:space="preserve"> has been added to the rear</w:t>
      </w:r>
      <w:r w:rsidR="00AF291D">
        <w:t>, and is integrated into the shop building</w:t>
      </w:r>
      <w:r w:rsidR="007B073D" w:rsidRPr="00E863C7">
        <w:t xml:space="preserve">. </w:t>
      </w:r>
      <w:r w:rsidR="00EF2810" w:rsidRPr="00E863C7">
        <w:t>A garden and outbuilding lie behind. The southern portion of the site consists of a gravel driveway and carparking area.</w:t>
      </w:r>
    </w:p>
    <w:p w14:paraId="3716E8ED" w14:textId="77777777" w:rsidR="00C14462" w:rsidRDefault="00C14462" w:rsidP="00C14462">
      <w:pPr>
        <w:pStyle w:val="Citation-Bodytext"/>
        <w:keepNext/>
      </w:pPr>
      <w:r>
        <w:rPr>
          <w:noProof/>
        </w:rPr>
        <w:lastRenderedPageBreak/>
        <w:drawing>
          <wp:inline distT="0" distB="0" distL="0" distR="0" wp14:anchorId="77AB730F" wp14:editId="224028C7">
            <wp:extent cx="5400000" cy="3483756"/>
            <wp:effectExtent l="0" t="0" r="0" b="2540"/>
            <wp:docPr id="1" name="Picture 1" descr="A picture containing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lope&#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00000" cy="3483756"/>
                    </a:xfrm>
                    <a:prstGeom prst="rect">
                      <a:avLst/>
                    </a:prstGeom>
                    <a:ln>
                      <a:noFill/>
                    </a:ln>
                    <a:extLst>
                      <a:ext uri="{53640926-AAD7-44D8-BBD7-CCE9431645EC}">
                        <a14:shadowObscured xmlns:a14="http://schemas.microsoft.com/office/drawing/2010/main"/>
                      </a:ext>
                    </a:extLst>
                  </pic:spPr>
                </pic:pic>
              </a:graphicData>
            </a:graphic>
          </wp:inline>
        </w:drawing>
      </w:r>
    </w:p>
    <w:p w14:paraId="3BF78807" w14:textId="4BB66589" w:rsidR="006903D4" w:rsidRDefault="00C14462" w:rsidP="00C14462">
      <w:pPr>
        <w:pStyle w:val="Citation-Caption"/>
      </w:pPr>
      <w:bookmarkStart w:id="2" w:name="_Ref70921645"/>
      <w:r>
        <w:t xml:space="preserve">Figure </w:t>
      </w:r>
      <w:fldSimple w:instr=" SEQ Figure \* ARABIC ">
        <w:r w:rsidR="00E8045D">
          <w:rPr>
            <w:noProof/>
          </w:rPr>
          <w:t>6</w:t>
        </w:r>
      </w:fldSimple>
      <w:bookmarkEnd w:id="2"/>
      <w:r>
        <w:t xml:space="preserve">. Aerial imagery of the site. (Source: </w:t>
      </w:r>
      <w:proofErr w:type="spellStart"/>
      <w:r>
        <w:t>Nearmap</w:t>
      </w:r>
      <w:proofErr w:type="spellEnd"/>
      <w:r>
        <w:t xml:space="preserve"> 2021)</w:t>
      </w:r>
    </w:p>
    <w:p w14:paraId="41142F82" w14:textId="77777777" w:rsidR="006C4C98" w:rsidRDefault="006C4C98" w:rsidP="00C14462">
      <w:pPr>
        <w:pStyle w:val="Citation-Caption"/>
      </w:pPr>
    </w:p>
    <w:p w14:paraId="58E3E13B" w14:textId="5E519696" w:rsidR="00EF2810" w:rsidRDefault="00EF2810" w:rsidP="00A36AA1">
      <w:pPr>
        <w:pStyle w:val="Citation-Bodytext"/>
      </w:pPr>
      <w:r>
        <w:t xml:space="preserve">The primary elevation (north) </w:t>
      </w:r>
      <w:r w:rsidR="00FC0587">
        <w:t xml:space="preserve">is elevated above the ground plane and </w:t>
      </w:r>
      <w:r w:rsidR="007B073D">
        <w:t xml:space="preserve">presents a </w:t>
      </w:r>
      <w:r w:rsidR="00860A86">
        <w:t xml:space="preserve">prominent </w:t>
      </w:r>
      <w:r w:rsidR="007B073D">
        <w:t xml:space="preserve">gable frontage to the streetscape. </w:t>
      </w:r>
      <w:r w:rsidR="00FC0587">
        <w:t>Signage reading ‘St Andrews General Store’ sits within the gable</w:t>
      </w:r>
      <w:r w:rsidR="007C05A9">
        <w:t xml:space="preserve"> (</w:t>
      </w:r>
      <w:r w:rsidR="007C05A9">
        <w:fldChar w:fldCharType="begin"/>
      </w:r>
      <w:r w:rsidR="007C05A9">
        <w:instrText xml:space="preserve"> REF _Ref73436479 \h </w:instrText>
      </w:r>
      <w:r w:rsidR="007C05A9">
        <w:fldChar w:fldCharType="separate"/>
      </w:r>
      <w:r w:rsidR="00B97624">
        <w:t xml:space="preserve">Figure </w:t>
      </w:r>
      <w:r w:rsidR="00B97624">
        <w:rPr>
          <w:noProof/>
        </w:rPr>
        <w:t>7</w:t>
      </w:r>
      <w:r w:rsidR="007C05A9">
        <w:fldChar w:fldCharType="end"/>
      </w:r>
      <w:r w:rsidR="007C05A9">
        <w:t>)</w:t>
      </w:r>
      <w:r w:rsidR="00FC0587">
        <w:t xml:space="preserve">. </w:t>
      </w:r>
      <w:r w:rsidR="007B073D">
        <w:t>A shallow</w:t>
      </w:r>
      <w:r w:rsidR="00FC52DA">
        <w:t xml:space="preserve"> skillion roofed</w:t>
      </w:r>
      <w:r w:rsidR="007B073D">
        <w:t xml:space="preserve"> </w:t>
      </w:r>
      <w:proofErr w:type="spellStart"/>
      <w:r w:rsidR="007B073D">
        <w:t>verandah</w:t>
      </w:r>
      <w:proofErr w:type="spellEnd"/>
      <w:r w:rsidR="007B073D">
        <w:t xml:space="preserve"> supported by simple timber posts protect</w:t>
      </w:r>
      <w:r w:rsidR="00A1735E">
        <w:t>s</w:t>
      </w:r>
      <w:r w:rsidR="007B073D">
        <w:t xml:space="preserve"> the entrance and </w:t>
      </w:r>
      <w:r w:rsidR="00A1735E">
        <w:t xml:space="preserve">extends </w:t>
      </w:r>
      <w:r w:rsidR="007B073D">
        <w:t xml:space="preserve">around the </w:t>
      </w:r>
      <w:r w:rsidR="00367EB6">
        <w:t>southeast</w:t>
      </w:r>
      <w:r w:rsidR="00A1735E">
        <w:t xml:space="preserve"> </w:t>
      </w:r>
      <w:r w:rsidR="007B073D">
        <w:t>corner</w:t>
      </w:r>
      <w:r w:rsidR="00FC0587">
        <w:t xml:space="preserve"> of the building</w:t>
      </w:r>
      <w:r w:rsidR="007B073D">
        <w:t>.</w:t>
      </w:r>
      <w:r w:rsidR="00BA5CAD">
        <w:t xml:space="preserve"> The northern portion of the </w:t>
      </w:r>
      <w:proofErr w:type="spellStart"/>
      <w:r w:rsidR="00035E12">
        <w:t>verandah</w:t>
      </w:r>
      <w:proofErr w:type="spellEnd"/>
      <w:r w:rsidR="00035E12">
        <w:t xml:space="preserve"> is enclosed.</w:t>
      </w:r>
      <w:r w:rsidR="007B073D">
        <w:t xml:space="preserve"> Brick paving leads</w:t>
      </w:r>
      <w:r w:rsidR="00FC0587">
        <w:t xml:space="preserve"> from the south</w:t>
      </w:r>
      <w:r w:rsidR="007B073D">
        <w:t xml:space="preserve"> to a </w:t>
      </w:r>
      <w:r w:rsidR="00FC0587">
        <w:t xml:space="preserve">concrete, </w:t>
      </w:r>
      <w:r w:rsidR="00AB1461">
        <w:t>brick steps</w:t>
      </w:r>
      <w:r w:rsidR="007B073D">
        <w:t xml:space="preserve"> rising to the </w:t>
      </w:r>
      <w:proofErr w:type="spellStart"/>
      <w:r w:rsidR="00FC0587">
        <w:t>verandah</w:t>
      </w:r>
      <w:proofErr w:type="spellEnd"/>
      <w:r w:rsidR="00FC0587">
        <w:t xml:space="preserve"> and building entrance. </w:t>
      </w:r>
      <w:r w:rsidR="006D623C">
        <w:t xml:space="preserve">An extended section of the </w:t>
      </w:r>
      <w:proofErr w:type="spellStart"/>
      <w:r w:rsidR="00FC0587">
        <w:t>verandah</w:t>
      </w:r>
      <w:proofErr w:type="spellEnd"/>
      <w:r w:rsidR="00FC0587">
        <w:t xml:space="preserve"> projects over the staircase landing</w:t>
      </w:r>
      <w:r w:rsidR="007B073D">
        <w:t>. Three slat timber balustrad</w:t>
      </w:r>
      <w:r w:rsidR="00B1416A">
        <w:t>es</w:t>
      </w:r>
      <w:r w:rsidR="007B073D">
        <w:t xml:space="preserve"> line the staircase and </w:t>
      </w:r>
      <w:proofErr w:type="spellStart"/>
      <w:r w:rsidR="007B073D">
        <w:t>verandah</w:t>
      </w:r>
      <w:proofErr w:type="spellEnd"/>
      <w:r w:rsidR="007B073D">
        <w:t xml:space="preserve">. </w:t>
      </w:r>
      <w:r w:rsidR="00FC0587">
        <w:t>Post box slots and a community noticeboard flank the double doorway. A phone box and post</w:t>
      </w:r>
      <w:r w:rsidR="00B1416A">
        <w:t xml:space="preserve"> </w:t>
      </w:r>
      <w:r w:rsidR="00FC0587">
        <w:t xml:space="preserve">box stand </w:t>
      </w:r>
      <w:r w:rsidR="001F0EE2">
        <w:t xml:space="preserve">on the ground plane, </w:t>
      </w:r>
      <w:r w:rsidR="00FC0587">
        <w:t>in</w:t>
      </w:r>
      <w:r w:rsidR="00B1416A">
        <w:t xml:space="preserve"> </w:t>
      </w:r>
      <w:r w:rsidR="00FC0587">
        <w:t xml:space="preserve">front of the building to the north. </w:t>
      </w:r>
    </w:p>
    <w:p w14:paraId="153277F8" w14:textId="79716B07" w:rsidR="00EF2810" w:rsidRDefault="00EF2810" w:rsidP="00441CDE">
      <w:pPr>
        <w:pStyle w:val="Citation-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08"/>
        <w:gridCol w:w="4508"/>
      </w:tblGrid>
      <w:tr w:rsidR="007B073D" w14:paraId="38F88AE1" w14:textId="77777777" w:rsidTr="006C4C98">
        <w:tc>
          <w:tcPr>
            <w:tcW w:w="4508" w:type="dxa"/>
          </w:tcPr>
          <w:p w14:paraId="7FD068EE" w14:textId="77777777" w:rsidR="007B073D" w:rsidRDefault="007B073D" w:rsidP="006C4C98">
            <w:pPr>
              <w:pStyle w:val="Citation-Image"/>
            </w:pPr>
            <w:r>
              <w:rPr>
                <w:noProof/>
              </w:rPr>
              <w:drawing>
                <wp:inline distT="0" distB="0" distL="0" distR="0" wp14:anchorId="785C2C54" wp14:editId="013FCFB5">
                  <wp:extent cx="2732400" cy="18170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2732400" cy="1817046"/>
                          </a:xfrm>
                          <a:prstGeom prst="rect">
                            <a:avLst/>
                          </a:prstGeom>
                        </pic:spPr>
                      </pic:pic>
                    </a:graphicData>
                  </a:graphic>
                </wp:inline>
              </w:drawing>
            </w:r>
          </w:p>
          <w:p w14:paraId="10A9B0FF" w14:textId="2B12B579" w:rsidR="007B073D" w:rsidRDefault="007B073D" w:rsidP="00FC0587">
            <w:pPr>
              <w:pStyle w:val="Citation-Caption"/>
            </w:pPr>
            <w:bookmarkStart w:id="3" w:name="_Ref73436479"/>
            <w:r>
              <w:t xml:space="preserve">Figure </w:t>
            </w:r>
            <w:fldSimple w:instr=" SEQ Figure \* ARABIC ">
              <w:r w:rsidR="00E8045D">
                <w:rPr>
                  <w:noProof/>
                </w:rPr>
                <w:t>7</w:t>
              </w:r>
            </w:fldSimple>
            <w:bookmarkEnd w:id="3"/>
            <w:r>
              <w:t>.</w:t>
            </w:r>
            <w:r w:rsidR="009D7C24">
              <w:t xml:space="preserve"> </w:t>
            </w:r>
            <w:r w:rsidR="007C05A9">
              <w:t>Signage within the gable</w:t>
            </w:r>
            <w:r w:rsidR="00D83D0E">
              <w:t xml:space="preserve"> and other signage such as for Australia Post</w:t>
            </w:r>
            <w:r w:rsidR="007C05A9">
              <w:t>.</w:t>
            </w:r>
            <w:r>
              <w:t xml:space="preserve"> (Source: Context 2020)</w:t>
            </w:r>
          </w:p>
        </w:tc>
        <w:tc>
          <w:tcPr>
            <w:tcW w:w="4508" w:type="dxa"/>
          </w:tcPr>
          <w:p w14:paraId="4E230FA1" w14:textId="77777777" w:rsidR="009D7C24" w:rsidRDefault="009D7C24" w:rsidP="006C4C98">
            <w:pPr>
              <w:pStyle w:val="Citation-Image"/>
            </w:pPr>
            <w:r>
              <w:rPr>
                <w:noProof/>
              </w:rPr>
              <w:drawing>
                <wp:inline distT="0" distB="0" distL="0" distR="0" wp14:anchorId="17AD36A9" wp14:editId="20A90FDB">
                  <wp:extent cx="2732400" cy="1818000"/>
                  <wp:effectExtent l="0" t="0" r="0" b="0"/>
                  <wp:docPr id="13" name="Picture 13" descr="A black car parked in a drive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car parked in a driveway&#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2400" cy="1818000"/>
                          </a:xfrm>
                          <a:prstGeom prst="rect">
                            <a:avLst/>
                          </a:prstGeom>
                        </pic:spPr>
                      </pic:pic>
                    </a:graphicData>
                  </a:graphic>
                </wp:inline>
              </w:drawing>
            </w:r>
          </w:p>
          <w:p w14:paraId="58F7E427" w14:textId="55C8C10F" w:rsidR="007B073D" w:rsidRDefault="009D7C24" w:rsidP="00FC0587">
            <w:pPr>
              <w:pStyle w:val="Citation-Caption"/>
            </w:pPr>
            <w:bookmarkStart w:id="4" w:name="_Ref73434136"/>
            <w:r>
              <w:t xml:space="preserve">Figure </w:t>
            </w:r>
            <w:fldSimple w:instr=" SEQ Figure \* ARABIC ">
              <w:r w:rsidR="00E8045D">
                <w:rPr>
                  <w:noProof/>
                </w:rPr>
                <w:t>8</w:t>
              </w:r>
            </w:fldSimple>
            <w:bookmarkEnd w:id="4"/>
            <w:r>
              <w:t>. South western edge of the building with paved area and garden beds in front. (Source: Context 2020)</w:t>
            </w:r>
          </w:p>
        </w:tc>
      </w:tr>
    </w:tbl>
    <w:p w14:paraId="663B4BBB" w14:textId="77777777" w:rsidR="00EB3BCB" w:rsidRDefault="00EB3BCB" w:rsidP="00EB3BCB">
      <w:pPr>
        <w:pStyle w:val="Citation-Heading3"/>
      </w:pPr>
      <w:r>
        <w:lastRenderedPageBreak/>
        <w:t>INTEGRITY</w:t>
      </w:r>
    </w:p>
    <w:p w14:paraId="0BD52751" w14:textId="7497B1DA" w:rsidR="00006D97" w:rsidRDefault="00FC0587" w:rsidP="00A36AA1">
      <w:pPr>
        <w:pStyle w:val="Citation-Bodytext"/>
      </w:pPr>
      <w:r w:rsidRPr="00FC0587">
        <w:t>10 Caledonia Street, St Andrews</w:t>
      </w:r>
      <w:r w:rsidR="00006D97" w:rsidRPr="00FC0587">
        <w:t xml:space="preserve">, is largely intact with </w:t>
      </w:r>
      <w:r w:rsidR="0069718A">
        <w:t xml:space="preserve">some </w:t>
      </w:r>
      <w:r w:rsidR="00006D97" w:rsidRPr="00FC0587">
        <w:t xml:space="preserve">changes visible to original or early significant fabric. The </w:t>
      </w:r>
      <w:r w:rsidR="00F60222">
        <w:t xml:space="preserve">front </w:t>
      </w:r>
      <w:r>
        <w:t>shop</w:t>
      </w:r>
      <w:r w:rsidR="00840BF3">
        <w:t xml:space="preserve"> </w:t>
      </w:r>
      <w:r w:rsidR="00006D97" w:rsidRPr="00FC0587">
        <w:t>building retains</w:t>
      </w:r>
      <w:r>
        <w:t xml:space="preserve"> the single</w:t>
      </w:r>
      <w:r w:rsidR="00F60222">
        <w:t>-</w:t>
      </w:r>
      <w:r>
        <w:t>storey gable-roofed form</w:t>
      </w:r>
      <w:r w:rsidR="00FC52DA">
        <w:t xml:space="preserve">, skillion </w:t>
      </w:r>
      <w:proofErr w:type="spellStart"/>
      <w:r w:rsidR="00FC52DA">
        <w:t>verandah</w:t>
      </w:r>
      <w:proofErr w:type="spellEnd"/>
      <w:r>
        <w:t xml:space="preserve"> and weatherboard cladding construction. </w:t>
      </w:r>
      <w:r w:rsidR="00BF4D28">
        <w:t xml:space="preserve">The entrance staircase and balustrade are </w:t>
      </w:r>
      <w:r w:rsidR="00FC52DA">
        <w:t>more recent additions</w:t>
      </w:r>
      <w:r w:rsidR="0069718A">
        <w:t xml:space="preserve"> </w:t>
      </w:r>
      <w:r w:rsidR="001B6555">
        <w:t>but reflect the entry configuration visible in photographs of the building taken in 1954</w:t>
      </w:r>
      <w:r w:rsidR="00FC52DA">
        <w:t>.</w:t>
      </w:r>
      <w:r w:rsidR="008274F7">
        <w:t xml:space="preserve"> </w:t>
      </w:r>
      <w:r w:rsidR="0035197C">
        <w:t xml:space="preserve">While the front step configuration is faithful to the 1954 configuration, the extant steps and </w:t>
      </w:r>
      <w:r w:rsidR="00C35CC0">
        <w:t>balustrade themselves are not significant.</w:t>
      </w:r>
      <w:r w:rsidR="00006D97" w:rsidRPr="00CC4885">
        <w:t xml:space="preserve"> </w:t>
      </w:r>
      <w:r w:rsidR="00F60222" w:rsidRPr="00CC4885">
        <w:t>The building</w:t>
      </w:r>
      <w:r w:rsidR="00F60222">
        <w:t xml:space="preserve">’s retention of </w:t>
      </w:r>
      <w:r w:rsidR="00F60222" w:rsidRPr="00CC4885">
        <w:t xml:space="preserve">its </w:t>
      </w:r>
      <w:r w:rsidR="00F60222">
        <w:t>continuous use as a shop and post office enhance</w:t>
      </w:r>
      <w:r w:rsidR="008C19F9">
        <w:t>s</w:t>
      </w:r>
      <w:r w:rsidR="00F60222">
        <w:t xml:space="preserve"> the place’s integrity. </w:t>
      </w:r>
      <w:r w:rsidR="00006D97" w:rsidRPr="00CC4885">
        <w:t>Overall, the building has high</w:t>
      </w:r>
      <w:r w:rsidR="00840BF3">
        <w:t xml:space="preserve"> integrity</w:t>
      </w:r>
      <w:r w:rsidR="00CC4885" w:rsidRPr="00CC4885">
        <w:t>.</w:t>
      </w:r>
    </w:p>
    <w:p w14:paraId="44BFBF9D" w14:textId="76849EAE" w:rsidR="002D1B78" w:rsidRDefault="002D1B78" w:rsidP="00A36AA1">
      <w:pPr>
        <w:pStyle w:val="Citation-Bodytext"/>
      </w:pPr>
      <w:r>
        <w:t>The embedded mudbrick residence to the rear</w:t>
      </w:r>
      <w:r w:rsidR="00E31D77">
        <w:t xml:space="preserve"> </w:t>
      </w:r>
      <w:r w:rsidR="00453E63">
        <w:t xml:space="preserve">of the shop, </w:t>
      </w:r>
      <w:r w:rsidR="00D97B8B">
        <w:t xml:space="preserve">that is </w:t>
      </w:r>
      <w:r w:rsidR="00453E63">
        <w:t>partially visible from the streetscape,</w:t>
      </w:r>
      <w:r w:rsidR="007D2018">
        <w:t xml:space="preserve"> is clearly legible as a later addition</w:t>
      </w:r>
      <w:r w:rsidR="009F177D">
        <w:t>. It is connected</w:t>
      </w:r>
      <w:r w:rsidR="00835708">
        <w:t xml:space="preserve"> physically</w:t>
      </w:r>
      <w:r w:rsidR="009F177D">
        <w:t xml:space="preserve"> but </w:t>
      </w:r>
      <w:r w:rsidR="00835708">
        <w:t xml:space="preserve">is </w:t>
      </w:r>
      <w:r w:rsidR="009F177D">
        <w:t xml:space="preserve">stylistically different to the main shop building. </w:t>
      </w:r>
      <w:r w:rsidR="00835708">
        <w:t xml:space="preserve">This does not detract from the </w:t>
      </w:r>
      <w:r w:rsidR="00195B83">
        <w:t xml:space="preserve">integrity of the main shop building. </w:t>
      </w:r>
    </w:p>
    <w:p w14:paraId="48140069" w14:textId="066A7705" w:rsidR="00520C73" w:rsidRPr="00840BF3" w:rsidRDefault="00EB3BCB" w:rsidP="00840BF3">
      <w:pPr>
        <w:pStyle w:val="Citation-Heading3"/>
      </w:pPr>
      <w:r>
        <w:t>COMPARATIVE ANALYSIS</w:t>
      </w:r>
    </w:p>
    <w:p w14:paraId="795D537C" w14:textId="6E4C69E8" w:rsidR="009A4F5B" w:rsidRDefault="00CD4F9C" w:rsidP="00A36AA1">
      <w:pPr>
        <w:pStyle w:val="Citation-Bodytext"/>
      </w:pPr>
      <w:r>
        <w:t>By the mid-to-late 1920s, r</w:t>
      </w:r>
      <w:r w:rsidR="00BE7F7A" w:rsidRPr="00BE7F7A">
        <w:t>esidential development in the outlying towns</w:t>
      </w:r>
      <w:r>
        <w:t>hips</w:t>
      </w:r>
      <w:r w:rsidR="00BE7F7A" w:rsidRPr="00BE7F7A">
        <w:t xml:space="preserve"> </w:t>
      </w:r>
      <w:r w:rsidR="009C5B56">
        <w:t xml:space="preserve">of </w:t>
      </w:r>
      <w:r w:rsidR="00D44BB2">
        <w:t>current-day Nillumbik</w:t>
      </w:r>
      <w:r w:rsidR="009C5B56">
        <w:t xml:space="preserve">, </w:t>
      </w:r>
      <w:r w:rsidR="00BE7F7A" w:rsidRPr="00BE7F7A">
        <w:t xml:space="preserve">including Hurstbridge, Panton Hill, St </w:t>
      </w:r>
      <w:proofErr w:type="gramStart"/>
      <w:r w:rsidR="00BE7F7A" w:rsidRPr="00BE7F7A">
        <w:t>Andrew's</w:t>
      </w:r>
      <w:proofErr w:type="gramEnd"/>
      <w:r w:rsidR="00BE7F7A" w:rsidRPr="00BE7F7A">
        <w:t xml:space="preserve"> and Diamond Creek had </w:t>
      </w:r>
      <w:r>
        <w:t>slowed</w:t>
      </w:r>
      <w:r w:rsidR="00B0062E">
        <w:t>.</w:t>
      </w:r>
      <w:r w:rsidR="00BE7F7A" w:rsidRPr="00BE7F7A">
        <w:t xml:space="preserve"> With the onset of the Great Depression building activity in Melbourne and its surrounds virtually ceased</w:t>
      </w:r>
      <w:r w:rsidR="00F60222">
        <w:t>.</w:t>
      </w:r>
      <w:r w:rsidR="00DA1037">
        <w:t xml:space="preserve"> </w:t>
      </w:r>
      <w:r w:rsidR="00A43641">
        <w:t>A</w:t>
      </w:r>
      <w:r w:rsidR="00C34B28" w:rsidRPr="00C34B28">
        <w:t xml:space="preserve"> combination of continuing agricultural land use and lack of suburban utilities</w:t>
      </w:r>
      <w:r w:rsidR="00A43641">
        <w:t xml:space="preserve"> and </w:t>
      </w:r>
      <w:r w:rsidR="00962666">
        <w:t xml:space="preserve">the impacts of the </w:t>
      </w:r>
      <w:r w:rsidR="002D6182">
        <w:t>Depression (1929-32)</w:t>
      </w:r>
      <w:r w:rsidR="00A43641">
        <w:t xml:space="preserve"> meant that</w:t>
      </w:r>
      <w:r w:rsidR="002D6182">
        <w:t xml:space="preserve"> </w:t>
      </w:r>
      <w:r w:rsidR="00C34B28" w:rsidRPr="00C34B28">
        <w:t xml:space="preserve">development in </w:t>
      </w:r>
      <w:r w:rsidR="00110089">
        <w:t xml:space="preserve">localities </w:t>
      </w:r>
      <w:r w:rsidR="00C34B28" w:rsidRPr="00C34B28">
        <w:t xml:space="preserve">outside the </w:t>
      </w:r>
      <w:r w:rsidR="00322267">
        <w:t xml:space="preserve">reach </w:t>
      </w:r>
      <w:r w:rsidR="0038356D">
        <w:t xml:space="preserve">of </w:t>
      </w:r>
      <w:r w:rsidR="00322267">
        <w:t xml:space="preserve">railway lines </w:t>
      </w:r>
      <w:r w:rsidR="00110089">
        <w:t>continued to be slow</w:t>
      </w:r>
      <w:r w:rsidR="00C34B28">
        <w:t xml:space="preserve"> in the interwar period</w:t>
      </w:r>
      <w:r w:rsidR="00C34B28" w:rsidRPr="00C34B28">
        <w:t xml:space="preserve">. Most </w:t>
      </w:r>
      <w:r w:rsidR="00C34B28">
        <w:t>buildings</w:t>
      </w:r>
      <w:r w:rsidR="00C34B28" w:rsidRPr="00C34B28">
        <w:t xml:space="preserve"> that appeared in the early twentieth century were modest weatherboard, timber framed structures</w:t>
      </w:r>
      <w:r w:rsidR="00B0062E">
        <w:t xml:space="preserve"> </w:t>
      </w:r>
      <w:r w:rsidR="00B0062E" w:rsidRPr="00B0062E">
        <w:t xml:space="preserve">(Mills </w:t>
      </w:r>
      <w:r w:rsidR="003B7E0E">
        <w:t>&amp;</w:t>
      </w:r>
      <w:r w:rsidR="00B0062E" w:rsidRPr="00B0062E">
        <w:t xml:space="preserve"> </w:t>
      </w:r>
      <w:proofErr w:type="spellStart"/>
      <w:r w:rsidR="00B0062E" w:rsidRPr="00B0062E">
        <w:t>Westbrooke</w:t>
      </w:r>
      <w:proofErr w:type="spellEnd"/>
      <w:r w:rsidR="00B0062E" w:rsidRPr="00B0062E">
        <w:t xml:space="preserve"> 2016:73-74)</w:t>
      </w:r>
      <w:r w:rsidR="00C34B28" w:rsidRPr="00C34B28">
        <w:t>.</w:t>
      </w:r>
      <w:r w:rsidR="00C34B28">
        <w:t xml:space="preserve"> </w:t>
      </w:r>
      <w:r w:rsidR="002D6182">
        <w:t>As there wa</w:t>
      </w:r>
      <w:r w:rsidR="000803D7">
        <w:t xml:space="preserve">s </w:t>
      </w:r>
      <w:r w:rsidR="00801E55">
        <w:t>limited building activit</w:t>
      </w:r>
      <w:r w:rsidR="0038356D">
        <w:t>y</w:t>
      </w:r>
      <w:r w:rsidR="00801E55">
        <w:t xml:space="preserve"> in the interwar period, t</w:t>
      </w:r>
      <w:r w:rsidR="00BF22B5" w:rsidRPr="00BF22B5">
        <w:t xml:space="preserve">here are </w:t>
      </w:r>
      <w:r w:rsidR="0038356D">
        <w:t xml:space="preserve">only </w:t>
      </w:r>
      <w:r w:rsidR="00BF22B5" w:rsidRPr="00BF22B5">
        <w:t xml:space="preserve">a handful of </w:t>
      </w:r>
      <w:r w:rsidR="002813A3">
        <w:t xml:space="preserve">interwar </w:t>
      </w:r>
      <w:r w:rsidR="00BF22B5" w:rsidRPr="00BF22B5">
        <w:t>shops listed</w:t>
      </w:r>
      <w:r w:rsidR="000F3C04">
        <w:t xml:space="preserve"> on the </w:t>
      </w:r>
      <w:r w:rsidR="002813A3" w:rsidRPr="00CC4885">
        <w:t>Nillumbik Shire Heritage Overlay</w:t>
      </w:r>
      <w:r w:rsidR="002813A3">
        <w:t xml:space="preserve">. </w:t>
      </w:r>
      <w:r w:rsidR="002540C4">
        <w:t>However, e</w:t>
      </w:r>
      <w:r w:rsidR="002813A3">
        <w:t>arly s</w:t>
      </w:r>
      <w:r w:rsidR="00A55225">
        <w:t>hop</w:t>
      </w:r>
      <w:r w:rsidR="00D1077D">
        <w:t xml:space="preserve"> buildings are important</w:t>
      </w:r>
      <w:r w:rsidR="002540C4">
        <w:t xml:space="preserve"> components of local heritage</w:t>
      </w:r>
      <w:r w:rsidR="00D1077D">
        <w:t xml:space="preserve"> as they reflect the development of townships and are</w:t>
      </w:r>
      <w:r w:rsidR="00C54DB2">
        <w:t xml:space="preserve"> </w:t>
      </w:r>
      <w:r w:rsidR="00530BFD">
        <w:t xml:space="preserve">part of the </w:t>
      </w:r>
      <w:r w:rsidR="00E72A58">
        <w:t>c</w:t>
      </w:r>
      <w:r w:rsidR="00C54DB2">
        <w:t>ore of</w:t>
      </w:r>
      <w:r w:rsidR="00E72A58">
        <w:t xml:space="preserve"> </w:t>
      </w:r>
      <w:r w:rsidR="00530BFD">
        <w:t xml:space="preserve">the </w:t>
      </w:r>
      <w:r w:rsidR="00E72A58">
        <w:t>community</w:t>
      </w:r>
      <w:r w:rsidR="00C54DB2">
        <w:t>.</w:t>
      </w:r>
    </w:p>
    <w:p w14:paraId="41AA30A1" w14:textId="136008FA" w:rsidR="005D3889" w:rsidRDefault="005D3889" w:rsidP="00A36AA1">
      <w:pPr>
        <w:pStyle w:val="Citation-Bodytext"/>
      </w:pPr>
      <w:r>
        <w:t xml:space="preserve">The St Andrews </w:t>
      </w:r>
      <w:r w:rsidR="00A46EB6">
        <w:t xml:space="preserve">township is serviced by </w:t>
      </w:r>
      <w:r w:rsidR="004B2E55">
        <w:t xml:space="preserve">several </w:t>
      </w:r>
      <w:r w:rsidR="002B7F88">
        <w:t>buildings</w:t>
      </w:r>
      <w:r w:rsidR="007B7326">
        <w:t>:</w:t>
      </w:r>
      <w:r w:rsidR="00A442AD">
        <w:t xml:space="preserve"> St Andrews State School 128 (HO20)</w:t>
      </w:r>
      <w:r w:rsidR="007B7326">
        <w:t>;</w:t>
      </w:r>
      <w:r w:rsidR="00A442AD">
        <w:t xml:space="preserve"> </w:t>
      </w:r>
      <w:r w:rsidR="00C1132F">
        <w:t>St Andrews Anglican Church (HO21)</w:t>
      </w:r>
      <w:r w:rsidR="007B7326">
        <w:t>;</w:t>
      </w:r>
      <w:r w:rsidR="00DF14F7">
        <w:t xml:space="preserve"> Weatherboard shop &amp; residence</w:t>
      </w:r>
      <w:r w:rsidR="007B7326">
        <w:t>, 85 Burns Street (HO18); St Andrews Hotel (HO</w:t>
      </w:r>
      <w:r w:rsidR="0046199A">
        <w:t>19), St Andrews Community Hall (proposed significant in this study),</w:t>
      </w:r>
      <w:r w:rsidR="002B7F88">
        <w:t xml:space="preserve"> which together form an important </w:t>
      </w:r>
      <w:r w:rsidR="00806E2F">
        <w:t xml:space="preserve">scatter </w:t>
      </w:r>
      <w:r w:rsidR="0046199A">
        <w:t xml:space="preserve">of commercial and </w:t>
      </w:r>
      <w:r w:rsidR="00617CA3">
        <w:t xml:space="preserve">community </w:t>
      </w:r>
      <w:r w:rsidR="007A7155">
        <w:t xml:space="preserve">buildings </w:t>
      </w:r>
      <w:r w:rsidR="00215A35">
        <w:t>defining the centre</w:t>
      </w:r>
      <w:r w:rsidR="002B7F88">
        <w:t xml:space="preserve"> of the St Andrews township</w:t>
      </w:r>
      <w:r w:rsidR="00215A35">
        <w:t xml:space="preserve"> along</w:t>
      </w:r>
      <w:r w:rsidR="00617CA3">
        <w:t xml:space="preserve"> Burns Street and Caledonia Road</w:t>
      </w:r>
      <w:r w:rsidR="002B7F88">
        <w:t xml:space="preserve">. </w:t>
      </w:r>
    </w:p>
    <w:p w14:paraId="3F7CEB02" w14:textId="6589C34E" w:rsidR="00CC4885" w:rsidRPr="00CC4885" w:rsidRDefault="00530BFD" w:rsidP="00A36AA1">
      <w:pPr>
        <w:pStyle w:val="Citation-Bodytext"/>
      </w:pPr>
      <w:r>
        <w:t>Below e</w:t>
      </w:r>
      <w:r w:rsidR="00CC4885" w:rsidRPr="00CC4885">
        <w:t xml:space="preserve">xamples of weatherboard shops </w:t>
      </w:r>
      <w:r>
        <w:t xml:space="preserve">are </w:t>
      </w:r>
      <w:r w:rsidR="00BF22B5">
        <w:t xml:space="preserve">listed </w:t>
      </w:r>
      <w:r w:rsidR="00CC4885" w:rsidRPr="00CC4885">
        <w:t>on the Nillumbik Shire Heritage Overlay</w:t>
      </w:r>
      <w:r>
        <w:t>.</w:t>
      </w:r>
    </w:p>
    <w:tbl>
      <w:tblPr>
        <w:tblStyle w:val="TableGrid"/>
        <w:tblW w:w="0" w:type="auto"/>
        <w:tblBorders>
          <w:left w:val="none" w:sz="0" w:space="0" w:color="auto"/>
          <w:right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4508"/>
        <w:gridCol w:w="4508"/>
      </w:tblGrid>
      <w:tr w:rsidR="00520C73" w14:paraId="7456F98D" w14:textId="77777777" w:rsidTr="00DD1D70">
        <w:tc>
          <w:tcPr>
            <w:tcW w:w="4508" w:type="dxa"/>
          </w:tcPr>
          <w:p w14:paraId="4260A5A5" w14:textId="410AEBDD" w:rsidR="00520C73" w:rsidRDefault="00CC4885" w:rsidP="006C4C98">
            <w:pPr>
              <w:pStyle w:val="Citation-Tabletext"/>
            </w:pPr>
            <w:r>
              <w:rPr>
                <w:noProof/>
              </w:rPr>
              <w:drawing>
                <wp:inline distT="0" distB="0" distL="0" distR="0" wp14:anchorId="5B075B05" wp14:editId="10DABD2B">
                  <wp:extent cx="2750824" cy="18182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824" cy="1818212"/>
                          </a:xfrm>
                          <a:prstGeom prst="rect">
                            <a:avLst/>
                          </a:prstGeom>
                          <a:ln>
                            <a:noFill/>
                          </a:ln>
                          <a:extLst>
                            <a:ext uri="{53640926-AAD7-44D8-BBD7-CCE9431645EC}">
                              <a14:shadowObscured xmlns:a14="http://schemas.microsoft.com/office/drawing/2010/main"/>
                            </a:ext>
                          </a:extLst>
                        </pic:spPr>
                      </pic:pic>
                    </a:graphicData>
                  </a:graphic>
                </wp:inline>
              </w:drawing>
            </w:r>
          </w:p>
          <w:p w14:paraId="10BF7B31" w14:textId="2BE5EBF2" w:rsidR="009E30C7" w:rsidRDefault="00CC4885" w:rsidP="009C4FC1">
            <w:pPr>
              <w:pStyle w:val="Citation-Caption"/>
              <w:rPr>
                <w:highlight w:val="lightGray"/>
              </w:rPr>
            </w:pPr>
            <w:r>
              <w:t>Kangaroo Ground General Store, Post Office</w:t>
            </w:r>
            <w:r w:rsidR="00520C73">
              <w:t xml:space="preserve">, </w:t>
            </w:r>
            <w:r>
              <w:t>280 Eltham-Yarra Glen Road, Kangaroo Ground (HO48)</w:t>
            </w:r>
            <w:r w:rsidR="00DD1D70">
              <w:t xml:space="preserve">. </w:t>
            </w:r>
            <w:r w:rsidR="00DD1D70" w:rsidRPr="00062604">
              <w:t xml:space="preserve">(Source: </w:t>
            </w:r>
            <w:r w:rsidR="006208AC" w:rsidRPr="00062604">
              <w:t xml:space="preserve">Google </w:t>
            </w:r>
            <w:proofErr w:type="spellStart"/>
            <w:r w:rsidR="006208AC" w:rsidRPr="00062604">
              <w:t>Streetview</w:t>
            </w:r>
            <w:proofErr w:type="spellEnd"/>
            <w:r w:rsidR="006208AC" w:rsidRPr="00062604">
              <w:t xml:space="preserve"> </w:t>
            </w:r>
            <w:r w:rsidR="00062604" w:rsidRPr="00062604">
              <w:t>2020</w:t>
            </w:r>
            <w:r w:rsidRPr="00062604">
              <w:t>)</w:t>
            </w:r>
          </w:p>
        </w:tc>
        <w:tc>
          <w:tcPr>
            <w:tcW w:w="4508" w:type="dxa"/>
          </w:tcPr>
          <w:p w14:paraId="373E83E7" w14:textId="052D8116" w:rsidR="00712549" w:rsidRDefault="00544D69" w:rsidP="00F73644">
            <w:pPr>
              <w:pStyle w:val="Citation-Bodytext"/>
              <w:rPr>
                <w:highlight w:val="lightGray"/>
              </w:rPr>
            </w:pPr>
            <w:r w:rsidRPr="00544D69">
              <w:t>The general store</w:t>
            </w:r>
            <w:r w:rsidR="006E26F7">
              <w:t>, built in the c1900s,</w:t>
            </w:r>
            <w:r w:rsidRPr="00544D69">
              <w:t xml:space="preserve"> is historically significant </w:t>
            </w:r>
            <w:r w:rsidR="006E26F7">
              <w:t xml:space="preserve">for its </w:t>
            </w:r>
            <w:r w:rsidRPr="00544D69">
              <w:t>long association with Kangaroo Ground</w:t>
            </w:r>
            <w:r w:rsidR="006E26F7">
              <w:t xml:space="preserve">. The store </w:t>
            </w:r>
            <w:r w:rsidRPr="00544D69">
              <w:t>has been an important centre of community life for more than 80 years</w:t>
            </w:r>
            <w:r w:rsidR="008236E3">
              <w:t>.</w:t>
            </w:r>
            <w:r w:rsidRPr="00544D69">
              <w:t xml:space="preserve"> Council meetings used to be conducted in the front room of the store at a time when Kangaroo Ground rivalled Eltham as the major centre of the Shire. The general store is one of a group of three well preserved public buildings in the Kangaroo Ground hamlet (</w:t>
            </w:r>
            <w:r w:rsidR="008334F7">
              <w:t>including</w:t>
            </w:r>
            <w:r w:rsidRPr="00544D69">
              <w:t xml:space="preserve"> </w:t>
            </w:r>
            <w:r w:rsidR="008236E3" w:rsidRPr="00544D69">
              <w:t>HO46</w:t>
            </w:r>
            <w:r w:rsidR="008236E3">
              <w:t xml:space="preserve"> </w:t>
            </w:r>
            <w:r w:rsidR="00291BF4">
              <w:t>Presbyterian Church</w:t>
            </w:r>
            <w:r w:rsidRPr="00544D69">
              <w:t xml:space="preserve"> and</w:t>
            </w:r>
            <w:r w:rsidR="00291BF4">
              <w:t xml:space="preserve"> </w:t>
            </w:r>
            <w:r w:rsidR="008236E3" w:rsidRPr="00544D69">
              <w:t>HO47</w:t>
            </w:r>
            <w:r w:rsidR="008236E3">
              <w:t xml:space="preserve"> </w:t>
            </w:r>
            <w:r w:rsidR="00412A05">
              <w:t>Primary (State) school No.210</w:t>
            </w:r>
            <w:r w:rsidR="004A5DE4">
              <w:t>5 and former residence</w:t>
            </w:r>
            <w:r w:rsidR="008236E3">
              <w:t>)</w:t>
            </w:r>
            <w:r w:rsidR="00E31A4A">
              <w:t>. It is</w:t>
            </w:r>
            <w:r w:rsidRPr="00544D69">
              <w:t xml:space="preserve"> a major </w:t>
            </w:r>
            <w:r w:rsidR="00E31A4A">
              <w:t xml:space="preserve">focus </w:t>
            </w:r>
            <w:r w:rsidRPr="00544D69">
              <w:t xml:space="preserve">of Kangaroo Ground which was one of the earliest settled areas of the Shire and which has the character </w:t>
            </w:r>
            <w:r w:rsidRPr="00544D69">
              <w:lastRenderedPageBreak/>
              <w:t>of an English village rather than an Australian settlement. The general store is socially and historically significant because it has served the community since c1900</w:t>
            </w:r>
            <w:r w:rsidR="008236E3">
              <w:t xml:space="preserve"> (VHD)</w:t>
            </w:r>
            <w:r w:rsidRPr="00544D69">
              <w:t>.</w:t>
            </w:r>
          </w:p>
        </w:tc>
      </w:tr>
      <w:tr w:rsidR="00544D69" w14:paraId="224CFEBC" w14:textId="77777777" w:rsidTr="00FC6572">
        <w:trPr>
          <w:cantSplit/>
        </w:trPr>
        <w:tc>
          <w:tcPr>
            <w:tcW w:w="4508" w:type="dxa"/>
          </w:tcPr>
          <w:p w14:paraId="11A416FF" w14:textId="77777777" w:rsidR="00544D69" w:rsidRDefault="00544D69" w:rsidP="006C4C98">
            <w:pPr>
              <w:pStyle w:val="Citation-Tabletext"/>
            </w:pPr>
            <w:r>
              <w:rPr>
                <w:noProof/>
              </w:rPr>
              <w:lastRenderedPageBreak/>
              <w:drawing>
                <wp:inline distT="0" distB="0" distL="0" distR="0" wp14:anchorId="764510D7" wp14:editId="52A3EC6F">
                  <wp:extent cx="2731748" cy="1790700"/>
                  <wp:effectExtent l="0" t="0" r="0" b="0"/>
                  <wp:docPr id="20" name="Picture 20" descr="Shop Residence St Andrews Colour 1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p Residence St Andrews Colour 1 - Shire of Eltham Heritage Study 199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b="5051"/>
                          <a:stretch/>
                        </pic:blipFill>
                        <pic:spPr bwMode="auto">
                          <a:xfrm>
                            <a:off x="0" y="0"/>
                            <a:ext cx="2732400" cy="1791127"/>
                          </a:xfrm>
                          <a:prstGeom prst="rect">
                            <a:avLst/>
                          </a:prstGeom>
                          <a:noFill/>
                          <a:ln>
                            <a:noFill/>
                          </a:ln>
                          <a:extLst>
                            <a:ext uri="{53640926-AAD7-44D8-BBD7-CCE9431645EC}">
                              <a14:shadowObscured xmlns:a14="http://schemas.microsoft.com/office/drawing/2010/main"/>
                            </a:ext>
                          </a:extLst>
                        </pic:spPr>
                      </pic:pic>
                    </a:graphicData>
                  </a:graphic>
                </wp:inline>
              </w:drawing>
            </w:r>
          </w:p>
          <w:p w14:paraId="5F12FB71" w14:textId="641FF440" w:rsidR="00544D69" w:rsidRDefault="00544D69" w:rsidP="00DD1D70">
            <w:pPr>
              <w:pStyle w:val="Citation-Caption"/>
            </w:pPr>
            <w:r w:rsidRPr="00CC4885">
              <w:t>Weatherboard Shop and Residence</w:t>
            </w:r>
            <w:r>
              <w:t>, 85 Burns Street, St Andrews (HO18)</w:t>
            </w:r>
            <w:r w:rsidR="00DD1D70">
              <w:t xml:space="preserve">. </w:t>
            </w:r>
            <w:r w:rsidR="0019124C">
              <w:t>(</w:t>
            </w:r>
            <w:r w:rsidR="00DD1D70" w:rsidRPr="00E212A0">
              <w:t xml:space="preserve">Source: </w:t>
            </w:r>
            <w:r w:rsidR="009C4FC1">
              <w:t>VHD</w:t>
            </w:r>
            <w:r w:rsidRPr="00E212A0">
              <w:t>)</w:t>
            </w:r>
          </w:p>
          <w:p w14:paraId="6AA1096D" w14:textId="77777777" w:rsidR="00544D69" w:rsidRDefault="00544D69" w:rsidP="006C4C98">
            <w:pPr>
              <w:pStyle w:val="Citation-Tabletext"/>
              <w:rPr>
                <w:noProof/>
              </w:rPr>
            </w:pPr>
          </w:p>
        </w:tc>
        <w:tc>
          <w:tcPr>
            <w:tcW w:w="4508" w:type="dxa"/>
          </w:tcPr>
          <w:p w14:paraId="3EF3994D" w14:textId="1F5824C3" w:rsidR="00544D69" w:rsidRDefault="00544D69" w:rsidP="00F73644">
            <w:pPr>
              <w:pStyle w:val="Citation-Bodytext"/>
              <w:rPr>
                <w:noProof/>
              </w:rPr>
            </w:pPr>
            <w:r>
              <w:rPr>
                <w:noProof/>
              </w:rPr>
              <w:t>Th</w:t>
            </w:r>
            <w:r w:rsidR="004D6E96">
              <w:rPr>
                <w:noProof/>
              </w:rPr>
              <w:t xml:space="preserve">is </w:t>
            </w:r>
            <w:r w:rsidR="00F72BF9">
              <w:rPr>
                <w:noProof/>
              </w:rPr>
              <w:t xml:space="preserve">combined </w:t>
            </w:r>
            <w:r>
              <w:rPr>
                <w:noProof/>
              </w:rPr>
              <w:t>shop</w:t>
            </w:r>
            <w:r w:rsidR="00F72BF9">
              <w:rPr>
                <w:noProof/>
              </w:rPr>
              <w:t xml:space="preserve"> and residence</w:t>
            </w:r>
            <w:r w:rsidR="00F861B4">
              <w:rPr>
                <w:noProof/>
              </w:rPr>
              <w:t xml:space="preserve"> </w:t>
            </w:r>
            <w:r w:rsidR="00F861B4">
              <w:t>built in c1890-1900</w:t>
            </w:r>
            <w:r>
              <w:rPr>
                <w:noProof/>
              </w:rPr>
              <w:t xml:space="preserve"> is socially and historically significant </w:t>
            </w:r>
            <w:r w:rsidR="00F861B4">
              <w:rPr>
                <w:noProof/>
              </w:rPr>
              <w:t xml:space="preserve">as </w:t>
            </w:r>
            <w:r>
              <w:rPr>
                <w:noProof/>
              </w:rPr>
              <w:t>one of the two traditional social hubs of St Andrews (</w:t>
            </w:r>
            <w:r w:rsidR="002F4B9C">
              <w:rPr>
                <w:noProof/>
              </w:rPr>
              <w:t xml:space="preserve">HO19 </w:t>
            </w:r>
            <w:r>
              <w:rPr>
                <w:noProof/>
              </w:rPr>
              <w:t>St Andrews Hotel being the other one)</w:t>
            </w:r>
            <w:r w:rsidR="004D6E96">
              <w:rPr>
                <w:noProof/>
              </w:rPr>
              <w:t xml:space="preserve">. In </w:t>
            </w:r>
            <w:r>
              <w:rPr>
                <w:noProof/>
              </w:rPr>
              <w:t xml:space="preserve">recent decades </w:t>
            </w:r>
            <w:r w:rsidR="004D6E96">
              <w:rPr>
                <w:noProof/>
              </w:rPr>
              <w:t xml:space="preserve">it has </w:t>
            </w:r>
            <w:r>
              <w:rPr>
                <w:noProof/>
              </w:rPr>
              <w:t>been used for the display of works by local artists, potters and leather/wood workers.</w:t>
            </w:r>
            <w:r w:rsidR="00F861B4">
              <w:rPr>
                <w:noProof/>
              </w:rPr>
              <w:t xml:space="preserve"> </w:t>
            </w:r>
            <w:r>
              <w:rPr>
                <w:noProof/>
              </w:rPr>
              <w:t xml:space="preserve">The </w:t>
            </w:r>
            <w:r w:rsidR="0007055F">
              <w:rPr>
                <w:noProof/>
              </w:rPr>
              <w:t xml:space="preserve">place </w:t>
            </w:r>
            <w:r>
              <w:rPr>
                <w:noProof/>
              </w:rPr>
              <w:t xml:space="preserve"> is historically and aesthetically significant </w:t>
            </w:r>
            <w:r w:rsidR="00F861B4">
              <w:rPr>
                <w:noProof/>
              </w:rPr>
              <w:t xml:space="preserve">as </w:t>
            </w:r>
            <w:r>
              <w:rPr>
                <w:noProof/>
              </w:rPr>
              <w:t>one of only two examples of a 1890</w:t>
            </w:r>
            <w:r w:rsidR="00F861B4">
              <w:rPr>
                <w:noProof/>
              </w:rPr>
              <w:t>s-</w:t>
            </w:r>
            <w:r>
              <w:rPr>
                <w:noProof/>
              </w:rPr>
              <w:t>1900s combined shop and residence in the area and, in combination with the adjacent St Andrews Hotel, is a major component of the streetscape of St Andrews</w:t>
            </w:r>
            <w:r w:rsidR="008236E3">
              <w:rPr>
                <w:noProof/>
              </w:rPr>
              <w:t xml:space="preserve"> </w:t>
            </w:r>
            <w:r w:rsidR="008236E3">
              <w:t>(VHD)</w:t>
            </w:r>
            <w:r>
              <w:rPr>
                <w:noProof/>
              </w:rPr>
              <w:t>.</w:t>
            </w:r>
          </w:p>
        </w:tc>
      </w:tr>
      <w:tr w:rsidR="00CC4885" w14:paraId="77D7AE09" w14:textId="77777777" w:rsidTr="00DD1D70">
        <w:tc>
          <w:tcPr>
            <w:tcW w:w="4508" w:type="dxa"/>
          </w:tcPr>
          <w:p w14:paraId="35531202" w14:textId="77777777" w:rsidR="007C326E" w:rsidRDefault="007C326E" w:rsidP="006C4C98">
            <w:pPr>
              <w:pStyle w:val="Citation-Tabletext"/>
            </w:pPr>
            <w:r>
              <w:rPr>
                <w:noProof/>
              </w:rPr>
              <w:drawing>
                <wp:inline distT="0" distB="0" distL="0" distR="0" wp14:anchorId="3E76D3D5" wp14:editId="18F3A98A">
                  <wp:extent cx="2725200"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25200" cy="1800000"/>
                          </a:xfrm>
                          <a:prstGeom prst="rect">
                            <a:avLst/>
                          </a:prstGeom>
                          <a:noFill/>
                          <a:ln>
                            <a:noFill/>
                          </a:ln>
                        </pic:spPr>
                      </pic:pic>
                    </a:graphicData>
                  </a:graphic>
                </wp:inline>
              </w:drawing>
            </w:r>
          </w:p>
          <w:p w14:paraId="4EABDF0B" w14:textId="5658873F" w:rsidR="00CC4885" w:rsidRDefault="00E43B82" w:rsidP="0019124C">
            <w:pPr>
              <w:pStyle w:val="Citation-Caption"/>
            </w:pPr>
            <w:r w:rsidRPr="00E43B82">
              <w:t>Former Butcher’s Shop and House</w:t>
            </w:r>
            <w:r>
              <w:t xml:space="preserve">, </w:t>
            </w:r>
            <w:r w:rsidR="00943396" w:rsidRPr="00943396">
              <w:t>919 Heidelberg-Kinglake Road, H</w:t>
            </w:r>
            <w:r w:rsidR="00943396">
              <w:t>urstbridge (HO</w:t>
            </w:r>
            <w:r w:rsidR="00E179C7">
              <w:t>75</w:t>
            </w:r>
            <w:r w:rsidR="00943396">
              <w:t>)</w:t>
            </w:r>
            <w:r w:rsidR="0019124C">
              <w:t>. (</w:t>
            </w:r>
            <w:r w:rsidR="0019124C" w:rsidRPr="00E212A0">
              <w:t xml:space="preserve">Source: </w:t>
            </w:r>
            <w:r w:rsidR="009C4FC1">
              <w:t>VHD</w:t>
            </w:r>
            <w:r w:rsidR="00943396" w:rsidRPr="00E212A0">
              <w:t>)</w:t>
            </w:r>
            <w:r w:rsidR="00943396">
              <w:t xml:space="preserve"> </w:t>
            </w:r>
          </w:p>
          <w:p w14:paraId="53BF4DC7" w14:textId="77777777" w:rsidR="008539E2" w:rsidRDefault="008539E2" w:rsidP="006C4C98">
            <w:pPr>
              <w:pStyle w:val="Citation-Tabletext"/>
            </w:pPr>
          </w:p>
          <w:p w14:paraId="1818C436" w14:textId="0B1F667F" w:rsidR="00712549" w:rsidRPr="0004104D" w:rsidRDefault="00712549" w:rsidP="003D43B4">
            <w:pPr>
              <w:pStyle w:val="Citation-Tabletext"/>
              <w:rPr>
                <w:noProof/>
              </w:rPr>
            </w:pPr>
          </w:p>
        </w:tc>
        <w:tc>
          <w:tcPr>
            <w:tcW w:w="4508" w:type="dxa"/>
          </w:tcPr>
          <w:p w14:paraId="29FAC2D9" w14:textId="7E0943D0" w:rsidR="00351EF2" w:rsidRDefault="003D43B4" w:rsidP="00F73644">
            <w:pPr>
              <w:pStyle w:val="Citation-Bodytext"/>
              <w:rPr>
                <w:noProof/>
              </w:rPr>
            </w:pPr>
            <w:r w:rsidRPr="003D43B4">
              <w:rPr>
                <w:noProof/>
              </w:rPr>
              <w:t xml:space="preserve">The </w:t>
            </w:r>
            <w:r w:rsidR="00224DDA">
              <w:t>c1913-14</w:t>
            </w:r>
            <w:r w:rsidR="00224DDA" w:rsidRPr="003D43B4">
              <w:rPr>
                <w:noProof/>
              </w:rPr>
              <w:t xml:space="preserve"> </w:t>
            </w:r>
            <w:r w:rsidR="0007055F">
              <w:rPr>
                <w:noProof/>
              </w:rPr>
              <w:t xml:space="preserve">combined </w:t>
            </w:r>
            <w:r w:rsidRPr="003D43B4">
              <w:rPr>
                <w:noProof/>
              </w:rPr>
              <w:t>shop</w:t>
            </w:r>
            <w:r w:rsidR="00224DDA">
              <w:rPr>
                <w:noProof/>
              </w:rPr>
              <w:t xml:space="preserve"> and </w:t>
            </w:r>
            <w:r w:rsidRPr="003D43B4">
              <w:rPr>
                <w:noProof/>
              </w:rPr>
              <w:t>residence</w:t>
            </w:r>
            <w:r w:rsidR="006C4C98">
              <w:t xml:space="preserve"> </w:t>
            </w:r>
            <w:r w:rsidR="00365433" w:rsidRPr="003D43B4">
              <w:rPr>
                <w:noProof/>
              </w:rPr>
              <w:t>within the subdivision created by the leading orchardist William Gray</w:t>
            </w:r>
            <w:r w:rsidR="006C4C98">
              <w:t xml:space="preserve">, </w:t>
            </w:r>
            <w:r w:rsidRPr="003D43B4">
              <w:rPr>
                <w:noProof/>
              </w:rPr>
              <w:t>is historically significant</w:t>
            </w:r>
            <w:r w:rsidR="00365433">
              <w:rPr>
                <w:noProof/>
              </w:rPr>
              <w:t xml:space="preserve">. It </w:t>
            </w:r>
            <w:r w:rsidRPr="003D43B4">
              <w:rPr>
                <w:noProof/>
              </w:rPr>
              <w:t>was constructed immediately after the arrival of the railway in Hurstbridge (1912) and illustrates the growth and change that the arrival of the railway brought to the town. The shop</w:t>
            </w:r>
            <w:r w:rsidR="00224DDA">
              <w:rPr>
                <w:noProof/>
              </w:rPr>
              <w:t xml:space="preserve"> and </w:t>
            </w:r>
            <w:r w:rsidRPr="003D43B4">
              <w:rPr>
                <w:noProof/>
              </w:rPr>
              <w:t>residence is one of Hurstbridge's most substantial commercial properties, featuring a projecting front gable over the shop and a cast iron decorative verandah</w:t>
            </w:r>
            <w:r w:rsidR="002F6D83">
              <w:rPr>
                <w:noProof/>
              </w:rPr>
              <w:t xml:space="preserve">, which is </w:t>
            </w:r>
            <w:r w:rsidRPr="003D43B4">
              <w:rPr>
                <w:noProof/>
              </w:rPr>
              <w:t>rare in Hurstbridge</w:t>
            </w:r>
            <w:r w:rsidR="002F6D83">
              <w:rPr>
                <w:noProof/>
              </w:rPr>
              <w:t>.</w:t>
            </w:r>
            <w:r w:rsidRPr="003D43B4">
              <w:rPr>
                <w:noProof/>
              </w:rPr>
              <w:t xml:space="preserve"> </w:t>
            </w:r>
            <w:r w:rsidR="002F6D83">
              <w:rPr>
                <w:noProof/>
              </w:rPr>
              <w:t xml:space="preserve">It is an </w:t>
            </w:r>
            <w:r w:rsidRPr="003D43B4">
              <w:rPr>
                <w:noProof/>
              </w:rPr>
              <w:t>integral component of a cluster of 1910</w:t>
            </w:r>
            <w:r w:rsidR="002F6D83">
              <w:rPr>
                <w:noProof/>
              </w:rPr>
              <w:t>s</w:t>
            </w:r>
            <w:r w:rsidRPr="003D43B4">
              <w:rPr>
                <w:noProof/>
              </w:rPr>
              <w:t xml:space="preserve"> and 1920s buildings that gives the centre of Hurstbridge its special character. The </w:t>
            </w:r>
            <w:r w:rsidR="002F6D83">
              <w:rPr>
                <w:noProof/>
              </w:rPr>
              <w:t xml:space="preserve">building is </w:t>
            </w:r>
            <w:r w:rsidRPr="003D43B4">
              <w:rPr>
                <w:noProof/>
              </w:rPr>
              <w:t>a rare example of a combined shop</w:t>
            </w:r>
            <w:r w:rsidR="002F6D83">
              <w:rPr>
                <w:noProof/>
              </w:rPr>
              <w:t xml:space="preserve"> and </w:t>
            </w:r>
            <w:r w:rsidRPr="003D43B4">
              <w:rPr>
                <w:noProof/>
              </w:rPr>
              <w:t>residence in the municipality and illustrates the once common practice of shopkeepers living at their premises</w:t>
            </w:r>
            <w:r w:rsidR="00351EF2">
              <w:rPr>
                <w:noProof/>
              </w:rPr>
              <w:t xml:space="preserve"> </w:t>
            </w:r>
            <w:r w:rsidR="00351EF2">
              <w:t>(VHD)</w:t>
            </w:r>
            <w:r w:rsidRPr="003D43B4">
              <w:rPr>
                <w:noProof/>
              </w:rPr>
              <w:t>.</w:t>
            </w:r>
            <w:r w:rsidR="00B00B46">
              <w:rPr>
                <w:noProof/>
              </w:rPr>
              <w:t xml:space="preserve"> </w:t>
            </w:r>
          </w:p>
          <w:p w14:paraId="092BFEB9" w14:textId="4C6A6D95" w:rsidR="006A61C7" w:rsidRPr="0004104D" w:rsidRDefault="00B00B46" w:rsidP="00544D69">
            <w:pPr>
              <w:pStyle w:val="Citation-Tabletext"/>
              <w:rPr>
                <w:noProof/>
              </w:rPr>
            </w:pPr>
            <w:r>
              <w:rPr>
                <w:noProof/>
              </w:rPr>
              <w:t>It does not appear to be in use as a shop currently.</w:t>
            </w:r>
          </w:p>
        </w:tc>
      </w:tr>
      <w:tr w:rsidR="008E7D36" w14:paraId="3B05231E" w14:textId="77777777" w:rsidTr="00DD1D70">
        <w:tc>
          <w:tcPr>
            <w:tcW w:w="4508" w:type="dxa"/>
          </w:tcPr>
          <w:p w14:paraId="223720CD" w14:textId="169D82F4" w:rsidR="003D43B4" w:rsidRDefault="003D43B4" w:rsidP="006E26F7">
            <w:pPr>
              <w:pStyle w:val="Citation-Tabletext"/>
            </w:pPr>
            <w:r>
              <w:rPr>
                <w:noProof/>
              </w:rPr>
              <w:lastRenderedPageBreak/>
              <w:drawing>
                <wp:inline distT="0" distB="0" distL="0" distR="0" wp14:anchorId="5FEBAAF8" wp14:editId="5D4AC851">
                  <wp:extent cx="2725200" cy="1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l="8985" t="-349" r="6992" b="1288"/>
                          <a:stretch/>
                        </pic:blipFill>
                        <pic:spPr bwMode="auto">
                          <a:xfrm>
                            <a:off x="0" y="0"/>
                            <a:ext cx="2725200" cy="1800000"/>
                          </a:xfrm>
                          <a:prstGeom prst="rect">
                            <a:avLst/>
                          </a:prstGeom>
                          <a:ln>
                            <a:noFill/>
                          </a:ln>
                          <a:extLst>
                            <a:ext uri="{53640926-AAD7-44D8-BBD7-CCE9431645EC}">
                              <a14:shadowObscured xmlns:a14="http://schemas.microsoft.com/office/drawing/2010/main"/>
                            </a:ext>
                          </a:extLst>
                        </pic:spPr>
                      </pic:pic>
                    </a:graphicData>
                  </a:graphic>
                </wp:inline>
              </w:drawing>
            </w:r>
          </w:p>
          <w:p w14:paraId="37F227BF" w14:textId="58F5DBC3" w:rsidR="003D43B4" w:rsidRDefault="003D43B4" w:rsidP="0019124C">
            <w:pPr>
              <w:pStyle w:val="Citation-Caption"/>
            </w:pPr>
            <w:r w:rsidRPr="00B51FBE">
              <w:t xml:space="preserve">Former </w:t>
            </w:r>
            <w:proofErr w:type="spellStart"/>
            <w:r w:rsidRPr="00B51FBE">
              <w:t>Milthorpe</w:t>
            </w:r>
            <w:proofErr w:type="spellEnd"/>
            <w:r w:rsidRPr="00B51FBE">
              <w:t xml:space="preserve"> Store</w:t>
            </w:r>
            <w:r>
              <w:t xml:space="preserve">, </w:t>
            </w:r>
            <w:r w:rsidRPr="00B243E3">
              <w:t>42-44 Main</w:t>
            </w:r>
            <w:r w:rsidR="00780EBB">
              <w:t xml:space="preserve"> </w:t>
            </w:r>
            <w:r w:rsidRPr="00B243E3">
              <w:t>Hurstbridge Road</w:t>
            </w:r>
            <w:r>
              <w:t>, Diamond Creek (HO259)</w:t>
            </w:r>
            <w:r w:rsidR="0019124C">
              <w:t xml:space="preserve">. </w:t>
            </w:r>
            <w:r w:rsidR="0019124C" w:rsidRPr="004A12E2">
              <w:t xml:space="preserve">(Source: </w:t>
            </w:r>
            <w:r w:rsidR="004A12E2" w:rsidRPr="004A12E2">
              <w:t xml:space="preserve">Google </w:t>
            </w:r>
            <w:proofErr w:type="spellStart"/>
            <w:r w:rsidR="004A12E2" w:rsidRPr="004A12E2">
              <w:t>Streetview</w:t>
            </w:r>
            <w:proofErr w:type="spellEnd"/>
            <w:r w:rsidR="004A12E2" w:rsidRPr="004A12E2">
              <w:t xml:space="preserve"> 2019</w:t>
            </w:r>
            <w:r w:rsidRPr="004A12E2">
              <w:t>)</w:t>
            </w:r>
            <w:r>
              <w:t xml:space="preserve"> </w:t>
            </w:r>
          </w:p>
          <w:p w14:paraId="76284728" w14:textId="268236DC" w:rsidR="006A61C7" w:rsidRDefault="006A61C7" w:rsidP="00845F41">
            <w:pPr>
              <w:pStyle w:val="Citation-Tabletext"/>
              <w:rPr>
                <w:noProof/>
              </w:rPr>
            </w:pPr>
          </w:p>
        </w:tc>
        <w:tc>
          <w:tcPr>
            <w:tcW w:w="4508" w:type="dxa"/>
          </w:tcPr>
          <w:p w14:paraId="7C87A34A" w14:textId="7C0F3CA2" w:rsidR="00351EF2" w:rsidRDefault="003D43B4" w:rsidP="00F73644">
            <w:pPr>
              <w:pStyle w:val="Citation-Bodytext"/>
            </w:pPr>
            <w:r>
              <w:t xml:space="preserve">The </w:t>
            </w:r>
            <w:r w:rsidR="002F6D83">
              <w:t xml:space="preserve">c1915 </w:t>
            </w:r>
            <w:r>
              <w:t xml:space="preserve">former </w:t>
            </w:r>
            <w:proofErr w:type="spellStart"/>
            <w:r>
              <w:t>Milthorpe</w:t>
            </w:r>
            <w:proofErr w:type="spellEnd"/>
            <w:r>
              <w:t xml:space="preserve"> Store</w:t>
            </w:r>
            <w:r w:rsidR="002F6D83">
              <w:t xml:space="preserve"> </w:t>
            </w:r>
            <w:r>
              <w:t xml:space="preserve">is historically significant for its long association with commercial activities within the township of Diamond Creek. Charles </w:t>
            </w:r>
            <w:proofErr w:type="spellStart"/>
            <w:r>
              <w:t>Milthorpe</w:t>
            </w:r>
            <w:proofErr w:type="spellEnd"/>
            <w:r>
              <w:t xml:space="preserve"> established </w:t>
            </w:r>
            <w:r w:rsidR="002F6D83">
              <w:t xml:space="preserve">the </w:t>
            </w:r>
            <w:r>
              <w:t xml:space="preserve">store and carrier business </w:t>
            </w:r>
            <w:r w:rsidR="002F6D83">
              <w:t>c</w:t>
            </w:r>
            <w:r>
              <w:t xml:space="preserve">1915 opposite the recently extended railway line and Diamond Creek Railway Station. </w:t>
            </w:r>
            <w:r w:rsidR="002F6D83">
              <w:t>T</w:t>
            </w:r>
            <w:r>
              <w:t xml:space="preserve">he </w:t>
            </w:r>
            <w:proofErr w:type="spellStart"/>
            <w:r>
              <w:t>Milthorpe</w:t>
            </w:r>
            <w:proofErr w:type="spellEnd"/>
            <w:r>
              <w:t xml:space="preserve"> family</w:t>
            </w:r>
            <w:r w:rsidR="002F6D83">
              <w:t xml:space="preserve"> </w:t>
            </w:r>
            <w:r>
              <w:t xml:space="preserve">ran </w:t>
            </w:r>
            <w:r w:rsidR="002F6D83">
              <w:t xml:space="preserve">the </w:t>
            </w:r>
            <w:r>
              <w:t xml:space="preserve">store and carrier from this location until </w:t>
            </w:r>
            <w:r w:rsidR="002F6D83">
              <w:t>c</w:t>
            </w:r>
            <w:r>
              <w:t xml:space="preserve">1960. The former store is an early surviving commercial building in </w:t>
            </w:r>
            <w:proofErr w:type="spellStart"/>
            <w:r>
              <w:t>Damond</w:t>
            </w:r>
            <w:proofErr w:type="spellEnd"/>
            <w:r>
              <w:t xml:space="preserve"> Creek and illustrates the shift of the commercial centre closer to the railway station after 1912 when the line was extended from Eltham to Hurstbridge. The former store was one of the first commercial buildings to be constructed near the railway stations after the line was extended. The former </w:t>
            </w:r>
            <w:proofErr w:type="spellStart"/>
            <w:r>
              <w:t>Milthorpe</w:t>
            </w:r>
            <w:proofErr w:type="spellEnd"/>
            <w:r>
              <w:t xml:space="preserve"> Store is </w:t>
            </w:r>
            <w:r w:rsidR="006E26F7">
              <w:t xml:space="preserve">also </w:t>
            </w:r>
            <w:r>
              <w:t>a partially intact example of an early twentieth century rural store still demonstrating the humble nature of its original construction</w:t>
            </w:r>
            <w:r w:rsidR="00351EF2">
              <w:t xml:space="preserve"> (VHD)</w:t>
            </w:r>
            <w:r>
              <w:t xml:space="preserve">. </w:t>
            </w:r>
          </w:p>
          <w:p w14:paraId="023EB728" w14:textId="7454B63F" w:rsidR="00845F41" w:rsidRDefault="002402F0" w:rsidP="006E26F7">
            <w:pPr>
              <w:pStyle w:val="Citation-Tabletext"/>
              <w:rPr>
                <w:noProof/>
              </w:rPr>
            </w:pPr>
            <w:r>
              <w:t xml:space="preserve">Today it is </w:t>
            </w:r>
            <w:r w:rsidR="00166F43">
              <w:t xml:space="preserve">used as </w:t>
            </w:r>
            <w:r>
              <w:t xml:space="preserve">an </w:t>
            </w:r>
            <w:r w:rsidR="00365BBF">
              <w:t>o</w:t>
            </w:r>
            <w:r>
              <w:t>pportunity shop</w:t>
            </w:r>
            <w:r w:rsidR="00351EF2">
              <w:t>.</w:t>
            </w:r>
            <w:r w:rsidR="008236E3">
              <w:t xml:space="preserve"> </w:t>
            </w:r>
          </w:p>
        </w:tc>
      </w:tr>
      <w:tr w:rsidR="003D43B4" w14:paraId="4B7A7D2E" w14:textId="77777777" w:rsidTr="00DD1D70">
        <w:tc>
          <w:tcPr>
            <w:tcW w:w="4508" w:type="dxa"/>
          </w:tcPr>
          <w:p w14:paraId="69AB575E" w14:textId="77777777" w:rsidR="003D43B4" w:rsidRDefault="003D43B4" w:rsidP="006E26F7">
            <w:pPr>
              <w:pStyle w:val="Citation-Tabletext"/>
            </w:pPr>
            <w:r>
              <w:rPr>
                <w:noProof/>
              </w:rPr>
              <w:drawing>
                <wp:inline distT="0" distB="0" distL="0" distR="0" wp14:anchorId="58C0FDD3" wp14:editId="5090C7B8">
                  <wp:extent cx="2725200" cy="18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25200" cy="1814400"/>
                          </a:xfrm>
                          <a:prstGeom prst="rect">
                            <a:avLst/>
                          </a:prstGeom>
                          <a:noFill/>
                          <a:ln>
                            <a:noFill/>
                          </a:ln>
                        </pic:spPr>
                      </pic:pic>
                    </a:graphicData>
                  </a:graphic>
                </wp:inline>
              </w:drawing>
            </w:r>
          </w:p>
          <w:p w14:paraId="6D43AFED" w14:textId="123C5987" w:rsidR="003D43B4" w:rsidRDefault="003D43B4" w:rsidP="0019124C">
            <w:pPr>
              <w:pStyle w:val="Citation-Caption"/>
            </w:pPr>
            <w:r>
              <w:t xml:space="preserve">Weatherboard Shop and Dwelling, 956-958 Heidelberg-Kinglake Road, Hurstbridge </w:t>
            </w:r>
            <w:r w:rsidRPr="003243E2">
              <w:t>(HO77)</w:t>
            </w:r>
            <w:r w:rsidR="0019124C">
              <w:t>. (</w:t>
            </w:r>
            <w:r w:rsidR="0019124C" w:rsidRPr="000F7CC3">
              <w:t xml:space="preserve">Source: </w:t>
            </w:r>
            <w:r w:rsidR="009C4FC1">
              <w:t>VHD</w:t>
            </w:r>
            <w:r w:rsidRPr="000F7CC3">
              <w:t>)</w:t>
            </w:r>
            <w:r>
              <w:t xml:space="preserve"> </w:t>
            </w:r>
          </w:p>
          <w:p w14:paraId="7C0DC154" w14:textId="77777777" w:rsidR="003D43B4" w:rsidRDefault="003D43B4" w:rsidP="006E26F7">
            <w:pPr>
              <w:pStyle w:val="Citation-Tabletext"/>
              <w:rPr>
                <w:noProof/>
              </w:rPr>
            </w:pPr>
          </w:p>
        </w:tc>
        <w:tc>
          <w:tcPr>
            <w:tcW w:w="4508" w:type="dxa"/>
          </w:tcPr>
          <w:p w14:paraId="0B3BE8BF" w14:textId="5DC0646F" w:rsidR="00351EF2" w:rsidRDefault="003D43B4" w:rsidP="00F73644">
            <w:pPr>
              <w:pStyle w:val="Citation-Bodytext"/>
              <w:rPr>
                <w:noProof/>
              </w:rPr>
            </w:pPr>
            <w:r w:rsidRPr="003D43B4">
              <w:rPr>
                <w:noProof/>
              </w:rPr>
              <w:t>The shop and dwelling (which may originally have been two shops)</w:t>
            </w:r>
            <w:r w:rsidR="006E26F7">
              <w:rPr>
                <w:noProof/>
              </w:rPr>
              <w:t xml:space="preserve">, </w:t>
            </w:r>
            <w:r w:rsidR="006E26F7">
              <w:t xml:space="preserve">built c1920, </w:t>
            </w:r>
            <w:r w:rsidRPr="003D43B4">
              <w:rPr>
                <w:noProof/>
              </w:rPr>
              <w:t>is historically significant because it was constructed within the subdivision created by the leading orchardist, William Gray</w:t>
            </w:r>
            <w:r w:rsidR="00365BBF">
              <w:rPr>
                <w:noProof/>
              </w:rPr>
              <w:t>. It</w:t>
            </w:r>
            <w:r w:rsidRPr="003D43B4">
              <w:rPr>
                <w:noProof/>
              </w:rPr>
              <w:t xml:space="preserve"> was one of the earliest properties constructed after the arrival of the railway to Hurstbridge (1912) and illustrates the growth and change that its arrival brought to the town</w:t>
            </w:r>
            <w:r w:rsidR="00351EF2">
              <w:rPr>
                <w:noProof/>
              </w:rPr>
              <w:t>. T</w:t>
            </w:r>
            <w:r w:rsidRPr="003D43B4">
              <w:rPr>
                <w:noProof/>
              </w:rPr>
              <w:t xml:space="preserve">he modest scale of the property reflects the relative poverty of Hurstbridge in the early years of the </w:t>
            </w:r>
            <w:r w:rsidR="00760639">
              <w:rPr>
                <w:noProof/>
              </w:rPr>
              <w:t>twentieth</w:t>
            </w:r>
            <w:r w:rsidRPr="003D43B4">
              <w:rPr>
                <w:noProof/>
              </w:rPr>
              <w:t xml:space="preserve"> century. The shop and dwelling is an integral component of a cluster of 1910 and 1920s buildings that gives the centre of Hurstbridge its special character</w:t>
            </w:r>
            <w:r w:rsidR="008236E3">
              <w:rPr>
                <w:noProof/>
              </w:rPr>
              <w:t xml:space="preserve"> </w:t>
            </w:r>
            <w:r w:rsidR="008236E3">
              <w:t>(VHD)</w:t>
            </w:r>
            <w:r w:rsidRPr="003D43B4">
              <w:rPr>
                <w:noProof/>
              </w:rPr>
              <w:t>.</w:t>
            </w:r>
            <w:r w:rsidR="00166F43">
              <w:rPr>
                <w:noProof/>
              </w:rPr>
              <w:t xml:space="preserve"> </w:t>
            </w:r>
          </w:p>
          <w:p w14:paraId="36BEA987" w14:textId="219B0A0F" w:rsidR="003D43B4" w:rsidRPr="00EA5ED4" w:rsidRDefault="00166F43" w:rsidP="006E26F7">
            <w:pPr>
              <w:pStyle w:val="Citation-Tabletext"/>
              <w:rPr>
                <w:noProof/>
              </w:rPr>
            </w:pPr>
            <w:r>
              <w:rPr>
                <w:noProof/>
              </w:rPr>
              <w:t xml:space="preserve">Today it is used as an </w:t>
            </w:r>
            <w:r w:rsidR="005772CE">
              <w:rPr>
                <w:noProof/>
              </w:rPr>
              <w:t>o</w:t>
            </w:r>
            <w:r>
              <w:rPr>
                <w:noProof/>
              </w:rPr>
              <w:t>pportunity shop</w:t>
            </w:r>
            <w:r w:rsidR="008236E3">
              <w:rPr>
                <w:noProof/>
              </w:rPr>
              <w:t>.</w:t>
            </w:r>
          </w:p>
        </w:tc>
      </w:tr>
      <w:tr w:rsidR="003D43B4" w14:paraId="5A70431D" w14:textId="77777777" w:rsidTr="00DD1D70">
        <w:tc>
          <w:tcPr>
            <w:tcW w:w="4508" w:type="dxa"/>
          </w:tcPr>
          <w:p w14:paraId="08245B9D" w14:textId="77777777" w:rsidR="003D43B4" w:rsidRDefault="003D43B4" w:rsidP="006E26F7">
            <w:pPr>
              <w:pStyle w:val="Citation-Tabletext"/>
            </w:pPr>
            <w:r w:rsidRPr="00EA5ED4">
              <w:rPr>
                <w:noProof/>
              </w:rPr>
              <w:lastRenderedPageBreak/>
              <w:drawing>
                <wp:inline distT="0" distB="0" distL="0" distR="0" wp14:anchorId="765592A4" wp14:editId="18996A54">
                  <wp:extent cx="2725200" cy="18252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t="1" b="3216"/>
                          <a:stretch/>
                        </pic:blipFill>
                        <pic:spPr bwMode="auto">
                          <a:xfrm>
                            <a:off x="0" y="0"/>
                            <a:ext cx="2725200" cy="1825200"/>
                          </a:xfrm>
                          <a:prstGeom prst="rect">
                            <a:avLst/>
                          </a:prstGeom>
                          <a:noFill/>
                          <a:ln>
                            <a:noFill/>
                          </a:ln>
                          <a:extLst>
                            <a:ext uri="{53640926-AAD7-44D8-BBD7-CCE9431645EC}">
                              <a14:shadowObscured xmlns:a14="http://schemas.microsoft.com/office/drawing/2010/main"/>
                            </a:ext>
                          </a:extLst>
                        </pic:spPr>
                      </pic:pic>
                    </a:graphicData>
                  </a:graphic>
                </wp:inline>
              </w:drawing>
            </w:r>
          </w:p>
          <w:p w14:paraId="75DB3A39" w14:textId="3FCABC92" w:rsidR="003D43B4" w:rsidRDefault="003D43B4" w:rsidP="0019124C">
            <w:pPr>
              <w:pStyle w:val="Citation-Caption"/>
            </w:pPr>
            <w:r w:rsidRPr="008871B5">
              <w:t>Weatherboard Shop, Corrugated Iron Building and Weatherboard House Behind</w:t>
            </w:r>
            <w:r>
              <w:t>, 960 Heidelberg-Kinglake Road, Hurstbridge (HO78)</w:t>
            </w:r>
            <w:r w:rsidR="00FA6A1C">
              <w:t xml:space="preserve">. (Source: </w:t>
            </w:r>
            <w:r w:rsidR="009C4FC1">
              <w:t>VHD</w:t>
            </w:r>
            <w:r w:rsidR="006277E5">
              <w:t>)</w:t>
            </w:r>
            <w:r>
              <w:t xml:space="preserve"> </w:t>
            </w:r>
          </w:p>
          <w:p w14:paraId="1D2DF5F0" w14:textId="77777777" w:rsidR="003D43B4" w:rsidRDefault="003D43B4" w:rsidP="006E26F7">
            <w:pPr>
              <w:pStyle w:val="Citation-Tabletext"/>
              <w:rPr>
                <w:noProof/>
              </w:rPr>
            </w:pPr>
          </w:p>
        </w:tc>
        <w:tc>
          <w:tcPr>
            <w:tcW w:w="4508" w:type="dxa"/>
          </w:tcPr>
          <w:p w14:paraId="428DC0DA" w14:textId="78EFD084" w:rsidR="00351EF2" w:rsidRDefault="003D43B4" w:rsidP="00F73644">
            <w:pPr>
              <w:pStyle w:val="Citation-Bodytext"/>
              <w:rPr>
                <w:noProof/>
              </w:rPr>
            </w:pPr>
            <w:r w:rsidRPr="003D43B4">
              <w:rPr>
                <w:noProof/>
              </w:rPr>
              <w:t>The shop and associated house</w:t>
            </w:r>
            <w:r w:rsidR="006E26F7">
              <w:rPr>
                <w:noProof/>
              </w:rPr>
              <w:t xml:space="preserve">, </w:t>
            </w:r>
            <w:r w:rsidR="006E26F7">
              <w:t>built c1910-1920,</w:t>
            </w:r>
            <w:r w:rsidRPr="003D43B4">
              <w:rPr>
                <w:noProof/>
              </w:rPr>
              <w:t xml:space="preserve"> are historically significant because the arrangement of the two (with the shop to the front and the house to the rear) is unique in Hurstbridge. The shop and house were constructed following the completion of the railway line to Hurstbridge (1912) and illustrate the growth and change that its arrival brought to the town. The shop and associated house retained its original/early shopfront and post-supported verandah</w:t>
            </w:r>
            <w:r w:rsidR="00351EF2">
              <w:rPr>
                <w:noProof/>
              </w:rPr>
              <w:t xml:space="preserve">. The buildings </w:t>
            </w:r>
            <w:r w:rsidRPr="003D43B4">
              <w:rPr>
                <w:noProof/>
              </w:rPr>
              <w:t>are integral components of a cluster of 1910 and 1920s buildings that gives the centre of Hurstbridge its special character</w:t>
            </w:r>
            <w:r w:rsidR="008236E3">
              <w:rPr>
                <w:noProof/>
              </w:rPr>
              <w:t xml:space="preserve"> </w:t>
            </w:r>
            <w:r w:rsidR="008236E3">
              <w:t>(VHD)</w:t>
            </w:r>
            <w:r w:rsidRPr="003D43B4">
              <w:rPr>
                <w:noProof/>
              </w:rPr>
              <w:t>.</w:t>
            </w:r>
            <w:r w:rsidR="00FF6ECF">
              <w:rPr>
                <w:noProof/>
              </w:rPr>
              <w:t xml:space="preserve"> </w:t>
            </w:r>
          </w:p>
          <w:p w14:paraId="0740C272" w14:textId="145CAE0C" w:rsidR="003D43B4" w:rsidRPr="00EA5ED4" w:rsidRDefault="00FF6ECF" w:rsidP="006E26F7">
            <w:pPr>
              <w:pStyle w:val="Citation-Tabletext"/>
              <w:rPr>
                <w:noProof/>
              </w:rPr>
            </w:pPr>
            <w:r>
              <w:rPr>
                <w:noProof/>
              </w:rPr>
              <w:t>The building is no longer a shop.</w:t>
            </w:r>
          </w:p>
        </w:tc>
      </w:tr>
    </w:tbl>
    <w:p w14:paraId="4B19D9AC" w14:textId="77777777" w:rsidR="008871B5" w:rsidRDefault="008871B5" w:rsidP="00A36AA1">
      <w:pPr>
        <w:pStyle w:val="Citation-Bodytext"/>
      </w:pPr>
    </w:p>
    <w:p w14:paraId="050B2AA4" w14:textId="2C0961EF" w:rsidR="003D77DD" w:rsidRPr="003D77DD" w:rsidRDefault="003D77DD" w:rsidP="00A36AA1">
      <w:pPr>
        <w:pStyle w:val="Citation-Bodytext"/>
        <w:rPr>
          <w:b/>
          <w:bCs/>
        </w:rPr>
      </w:pPr>
      <w:r w:rsidRPr="003D77DD">
        <w:rPr>
          <w:b/>
          <w:bCs/>
        </w:rPr>
        <w:t>Discussion</w:t>
      </w:r>
    </w:p>
    <w:p w14:paraId="28625A01" w14:textId="74EF974B" w:rsidR="0010244E" w:rsidRDefault="006311A3" w:rsidP="00A36AA1">
      <w:pPr>
        <w:pStyle w:val="Citation-Bodytext"/>
      </w:pPr>
      <w:r>
        <w:t>The St Andrews General Store at 10 Caledonia Street, St Andrews</w:t>
      </w:r>
      <w:r w:rsidR="00452073">
        <w:t>,</w:t>
      </w:r>
      <w:r>
        <w:t xml:space="preserve"> compares well to the above examples</w:t>
      </w:r>
      <w:r w:rsidR="00A1325F">
        <w:t xml:space="preserve"> in form</w:t>
      </w:r>
      <w:r w:rsidR="009C1132">
        <w:t xml:space="preserve">, </w:t>
      </w:r>
      <w:proofErr w:type="gramStart"/>
      <w:r w:rsidR="009C1132">
        <w:t>materiality</w:t>
      </w:r>
      <w:proofErr w:type="gramEnd"/>
      <w:r w:rsidR="00A1325F">
        <w:t xml:space="preserve"> and </w:t>
      </w:r>
      <w:r w:rsidR="001428A8">
        <w:t>original</w:t>
      </w:r>
      <w:r w:rsidR="00A1325F">
        <w:t xml:space="preserve"> function</w:t>
      </w:r>
      <w:r>
        <w:t>.</w:t>
      </w:r>
      <w:r w:rsidR="00035E12">
        <w:t xml:space="preserve"> </w:t>
      </w:r>
      <w:r w:rsidR="00CC4885">
        <w:t>Of modest</w:t>
      </w:r>
      <w:r w:rsidR="00E84B76">
        <w:t xml:space="preserve"> timber</w:t>
      </w:r>
      <w:r w:rsidR="00CC4885">
        <w:t xml:space="preserve"> construction, the St Andrews General Store demonstrates the development of retail outlets during th</w:t>
      </w:r>
      <w:r w:rsidR="007D67AC">
        <w:t>e interwar</w:t>
      </w:r>
      <w:r w:rsidR="00CC4885">
        <w:t xml:space="preserve"> period and represents the importance of commerce to townships.</w:t>
      </w:r>
      <w:r w:rsidR="006268B6">
        <w:t xml:space="preserve"> </w:t>
      </w:r>
      <w:r w:rsidR="006268B6" w:rsidRPr="006268B6">
        <w:t xml:space="preserve">Many of the examples listed are built prior to the Depression, </w:t>
      </w:r>
      <w:r w:rsidR="00D17F08">
        <w:t>rendering</w:t>
      </w:r>
      <w:r w:rsidR="006268B6" w:rsidRPr="006268B6">
        <w:t xml:space="preserve"> the St Andrews General Store </w:t>
      </w:r>
      <w:r w:rsidR="002D57CB">
        <w:t>of further importance</w:t>
      </w:r>
      <w:r w:rsidR="001428A8">
        <w:t xml:space="preserve"> as </w:t>
      </w:r>
      <w:r w:rsidR="00836076">
        <w:t xml:space="preserve">an </w:t>
      </w:r>
      <w:r w:rsidR="00BF2867">
        <w:t xml:space="preserve">interwar </w:t>
      </w:r>
      <w:r w:rsidR="00836076">
        <w:t xml:space="preserve">example of this </w:t>
      </w:r>
      <w:r w:rsidR="00D25DF7">
        <w:t>building type</w:t>
      </w:r>
      <w:r w:rsidR="00BF2867">
        <w:t xml:space="preserve"> which is</w:t>
      </w:r>
      <w:r w:rsidR="00500879">
        <w:t xml:space="preserve"> poorly represented in the Heritage </w:t>
      </w:r>
      <w:proofErr w:type="gramStart"/>
      <w:r w:rsidR="00500879">
        <w:t>Overlay.</w:t>
      </w:r>
      <w:r w:rsidR="006268B6" w:rsidRPr="006268B6">
        <w:t>.</w:t>
      </w:r>
      <w:proofErr w:type="gramEnd"/>
      <w:r w:rsidR="00CC4885">
        <w:t xml:space="preserve"> </w:t>
      </w:r>
      <w:r w:rsidR="00FF6ECF">
        <w:t>Like</w:t>
      </w:r>
      <w:r w:rsidR="0010244E">
        <w:t xml:space="preserve"> </w:t>
      </w:r>
      <w:r w:rsidR="00D46F0F">
        <w:t xml:space="preserve">the </w:t>
      </w:r>
      <w:r w:rsidR="00D46F0F" w:rsidRPr="00D46F0F">
        <w:t>Former Butcher’s Shop and House</w:t>
      </w:r>
      <w:r w:rsidR="00D46F0F">
        <w:t xml:space="preserve"> at</w:t>
      </w:r>
      <w:r w:rsidR="00D46F0F" w:rsidRPr="00D46F0F">
        <w:t xml:space="preserve"> 919 Heidelberg-Kinglake Road, Hurstbridge (HO75)</w:t>
      </w:r>
      <w:r w:rsidR="0010244E">
        <w:t xml:space="preserve">, the St Andrews General Store and </w:t>
      </w:r>
      <w:r w:rsidR="00A61593">
        <w:t xml:space="preserve">House </w:t>
      </w:r>
      <w:r w:rsidR="0010244E">
        <w:t>is</w:t>
      </w:r>
      <w:r w:rsidR="0010244E" w:rsidRPr="0010244E">
        <w:t xml:space="preserve"> a rare example of a combined shop and residence in the municipality</w:t>
      </w:r>
      <w:r w:rsidR="00BF2867">
        <w:t>,</w:t>
      </w:r>
      <w:r w:rsidR="0010244E" w:rsidRPr="0010244E">
        <w:t xml:space="preserve"> </w:t>
      </w:r>
      <w:r w:rsidR="00D46F0F">
        <w:t>illustrating</w:t>
      </w:r>
      <w:r w:rsidR="0010244E" w:rsidRPr="0010244E">
        <w:t xml:space="preserve"> the once common practice of shopkeepers living at their premises.</w:t>
      </w:r>
      <w:r w:rsidR="009C1132">
        <w:t xml:space="preserve"> </w:t>
      </w:r>
    </w:p>
    <w:p w14:paraId="195E64DF" w14:textId="2F6209C5" w:rsidR="00117D4A" w:rsidRDefault="008871B5" w:rsidP="00A36AA1">
      <w:pPr>
        <w:pStyle w:val="Citation-Bodytext"/>
      </w:pPr>
      <w:r>
        <w:t xml:space="preserve">It is also </w:t>
      </w:r>
      <w:r w:rsidR="00806E2F">
        <w:t>notable</w:t>
      </w:r>
      <w:r w:rsidR="00BF2867">
        <w:t xml:space="preserve"> </w:t>
      </w:r>
      <w:r>
        <w:t xml:space="preserve">for its continuous use as a shop, as some of the </w:t>
      </w:r>
      <w:r w:rsidR="00BF2867">
        <w:t xml:space="preserve">comparative </w:t>
      </w:r>
      <w:r>
        <w:t>examples</w:t>
      </w:r>
      <w:r w:rsidR="002D57CB">
        <w:t xml:space="preserve"> have been converted to residential use </w:t>
      </w:r>
      <w:r w:rsidR="00D9584E">
        <w:t>or</w:t>
      </w:r>
      <w:r>
        <w:t xml:space="preserve"> </w:t>
      </w:r>
      <w:r w:rsidR="00817DE2">
        <w:t>do not retain their original commercial use</w:t>
      </w:r>
      <w:r w:rsidR="009858A5">
        <w:t xml:space="preserve">. The signage within the gable </w:t>
      </w:r>
      <w:r w:rsidR="00FD7726">
        <w:t>at 10 Caledonia Street, while not original, makes an important</w:t>
      </w:r>
      <w:r w:rsidR="00DB62FD">
        <w:t xml:space="preserve"> </w:t>
      </w:r>
      <w:r w:rsidR="00FD7726">
        <w:t>contribution to the streetscape and signifies the commercial use of the place</w:t>
      </w:r>
      <w:r w:rsidR="00DB62FD">
        <w:t xml:space="preserve"> to the public domain</w:t>
      </w:r>
      <w:r w:rsidR="00FD7726">
        <w:t>.</w:t>
      </w:r>
      <w:r w:rsidR="00D83D0E">
        <w:t xml:space="preserve"> </w:t>
      </w:r>
      <w:r w:rsidR="00FD7726">
        <w:t xml:space="preserve"> </w:t>
      </w:r>
    </w:p>
    <w:p w14:paraId="09FD1A52" w14:textId="3CD10418" w:rsidR="00117D4A" w:rsidRDefault="00117D4A" w:rsidP="00A36AA1">
      <w:pPr>
        <w:pStyle w:val="Citation-Bodytext"/>
      </w:pPr>
      <w:r>
        <w:t xml:space="preserve">The St Andrews General Store </w:t>
      </w:r>
      <w:r w:rsidR="005F4DF6">
        <w:t xml:space="preserve">contributes to the cluster of commercial and community-focused buildings along </w:t>
      </w:r>
      <w:r w:rsidR="00A8166B">
        <w:t xml:space="preserve">the main thoroughfares of </w:t>
      </w:r>
      <w:r w:rsidR="005F4DF6">
        <w:t xml:space="preserve">Caledonia Road and </w:t>
      </w:r>
      <w:r w:rsidR="00926B91">
        <w:t xml:space="preserve">Burns Street which help define the core of the town. </w:t>
      </w:r>
      <w:r w:rsidR="00DB62FD">
        <w:t xml:space="preserve">It </w:t>
      </w:r>
      <w:r w:rsidR="009F1AEF">
        <w:t xml:space="preserve">is largely intact on its primary elevation and </w:t>
      </w:r>
      <w:r w:rsidR="00DB62FD">
        <w:t>demonstrate</w:t>
      </w:r>
      <w:r w:rsidR="009F1AEF">
        <w:t xml:space="preserve">s </w:t>
      </w:r>
      <w:r w:rsidR="009F1AEF" w:rsidRPr="009F1AEF">
        <w:t>a typical construction method of the interwar period within Nillumbik Shire</w:t>
      </w:r>
      <w:r w:rsidR="003616AF">
        <w:t xml:space="preserve"> and contribute</w:t>
      </w:r>
      <w:r w:rsidR="00A8166B">
        <w:t>s</w:t>
      </w:r>
      <w:r w:rsidR="003616AF">
        <w:t xml:space="preserve"> to the </w:t>
      </w:r>
      <w:r w:rsidR="003616AF" w:rsidRPr="00806E2F">
        <w:t>township’s character</w:t>
      </w:r>
      <w:r w:rsidR="00A8166B" w:rsidRPr="00806E2F">
        <w:t xml:space="preserve"> in form and function</w:t>
      </w:r>
      <w:r w:rsidR="003616AF" w:rsidRPr="00806E2F">
        <w:t>.</w:t>
      </w:r>
    </w:p>
    <w:p w14:paraId="3D642082" w14:textId="3F87376B" w:rsidR="00544D69" w:rsidRDefault="00544D69" w:rsidP="00A36AA1">
      <w:pPr>
        <w:pStyle w:val="Citation-Bodytext"/>
      </w:pPr>
      <w:r>
        <w:br w:type="page"/>
      </w:r>
    </w:p>
    <w:p w14:paraId="260FBD8C" w14:textId="77777777" w:rsidR="00EB3BCB" w:rsidRDefault="00EB3BCB" w:rsidP="00EB3BCB">
      <w:pPr>
        <w:pStyle w:val="Citation-Heading3"/>
      </w:pPr>
      <w:r>
        <w:lastRenderedPageBreak/>
        <w:t>STATEMENT OF SIGNIFICANCE</w:t>
      </w:r>
    </w:p>
    <w:p w14:paraId="44E77049" w14:textId="77777777" w:rsidR="00EB3BCB" w:rsidRPr="00E06330" w:rsidRDefault="00EB3BCB" w:rsidP="0004104D">
      <w:pPr>
        <w:pStyle w:val="Citation-Heading4"/>
      </w:pPr>
      <w:r w:rsidRPr="00E06330">
        <w:t>WHAT IS SIGNIFICANT</w:t>
      </w:r>
      <w:r>
        <w:t>?</w:t>
      </w:r>
    </w:p>
    <w:p w14:paraId="7DCB84D8" w14:textId="631BEE2A" w:rsidR="00006D97" w:rsidRDefault="00A61593" w:rsidP="00A36AA1">
      <w:pPr>
        <w:pStyle w:val="Citation-Bodytext"/>
      </w:pPr>
      <w:r w:rsidRPr="00A61593">
        <w:t>St Andrews General Store and House</w:t>
      </w:r>
      <w:r>
        <w:t xml:space="preserve"> </w:t>
      </w:r>
      <w:r w:rsidR="006311A3" w:rsidRPr="006311A3">
        <w:t>at 10 Caledonia Street, St Andrews</w:t>
      </w:r>
      <w:r w:rsidR="00553E1D">
        <w:t>,</w:t>
      </w:r>
      <w:r w:rsidR="006311A3" w:rsidRPr="006311A3">
        <w:t xml:space="preserve"> built in 1935</w:t>
      </w:r>
      <w:r w:rsidR="000B50C0">
        <w:t xml:space="preserve"> </w:t>
      </w:r>
      <w:r w:rsidR="00006D97">
        <w:t>is significant.</w:t>
      </w:r>
    </w:p>
    <w:p w14:paraId="03B45AFE" w14:textId="77777777" w:rsidR="00006D97" w:rsidRDefault="00006D97" w:rsidP="00A36AA1">
      <w:pPr>
        <w:pStyle w:val="Citation-Bodytext"/>
      </w:pPr>
      <w:r>
        <w:t>Elements that contribute to the significance of the place include:</w:t>
      </w:r>
    </w:p>
    <w:p w14:paraId="391373F4" w14:textId="0774FCE6" w:rsidR="00006D97" w:rsidRDefault="005850E6" w:rsidP="00A36AA1">
      <w:pPr>
        <w:pStyle w:val="Citation-Bullet1"/>
      </w:pPr>
      <w:r>
        <w:t>O</w:t>
      </w:r>
      <w:r w:rsidR="00006D97">
        <w:t>riginal</w:t>
      </w:r>
      <w:r>
        <w:t xml:space="preserve"> single-story gable roofed</w:t>
      </w:r>
      <w:r w:rsidR="00006D97">
        <w:t xml:space="preserve"> form and scale</w:t>
      </w:r>
      <w:r w:rsidR="00751148">
        <w:t xml:space="preserve">, and </w:t>
      </w:r>
      <w:r w:rsidR="006A7248">
        <w:t>building siting without setback.</w:t>
      </w:r>
    </w:p>
    <w:p w14:paraId="3A541B87" w14:textId="4EFD61A5" w:rsidR="00006D97" w:rsidRPr="00A92AA4" w:rsidRDefault="006311A3" w:rsidP="00A36AA1">
      <w:pPr>
        <w:pStyle w:val="Citation-Bullet1"/>
      </w:pPr>
      <w:r>
        <w:t>Weatherboard cladding</w:t>
      </w:r>
      <w:r w:rsidR="002C7AC9">
        <w:t>.</w:t>
      </w:r>
    </w:p>
    <w:p w14:paraId="65A5037B" w14:textId="3BC663DF" w:rsidR="00006D97" w:rsidRDefault="005850E6" w:rsidP="00451507">
      <w:pPr>
        <w:pStyle w:val="Citation-Bullet1"/>
        <w:numPr>
          <w:ilvl w:val="0"/>
          <w:numId w:val="0"/>
        </w:numPr>
      </w:pPr>
      <w:r>
        <w:t xml:space="preserve">The </w:t>
      </w:r>
      <w:r w:rsidR="000F1E56">
        <w:t>s</w:t>
      </w:r>
      <w:r w:rsidR="000F1E56" w:rsidRPr="007B3A8E">
        <w:t>ignage</w:t>
      </w:r>
      <w:r w:rsidR="000F1E56">
        <w:t>,</w:t>
      </w:r>
      <w:r w:rsidR="000F1E56" w:rsidRPr="007B3A8E">
        <w:t xml:space="preserve"> noticeboards</w:t>
      </w:r>
      <w:r w:rsidR="000F1E56">
        <w:t xml:space="preserve"> and</w:t>
      </w:r>
      <w:r w:rsidR="000F1E56" w:rsidRPr="007B3A8E">
        <w:t xml:space="preserve"> </w:t>
      </w:r>
      <w:r>
        <w:t>embedded mudbrick dwelling to the rear</w:t>
      </w:r>
      <w:r w:rsidR="00451507">
        <w:t xml:space="preserve"> </w:t>
      </w:r>
      <w:r w:rsidR="00150A8E">
        <w:t>contributes to the significance of the place.</w:t>
      </w:r>
    </w:p>
    <w:p w14:paraId="06837F99" w14:textId="77777777" w:rsidR="00006D97" w:rsidRDefault="00006D97" w:rsidP="0004104D">
      <w:pPr>
        <w:pStyle w:val="Citation-Heading4"/>
      </w:pPr>
      <w:r>
        <w:t xml:space="preserve">HOW </w:t>
      </w:r>
      <w:r w:rsidR="00EB3BCB">
        <w:t>IS IT</w:t>
      </w:r>
      <w:r>
        <w:t xml:space="preserve"> SIGNIFICANT?</w:t>
      </w:r>
    </w:p>
    <w:p w14:paraId="7DC2B1FF" w14:textId="24995D64" w:rsidR="00006D97" w:rsidRPr="00441CDE" w:rsidRDefault="00A61593" w:rsidP="00A36AA1">
      <w:pPr>
        <w:pStyle w:val="Citation-Bodytext"/>
      </w:pPr>
      <w:r w:rsidRPr="00A61593">
        <w:t>St Andrews General Store and House</w:t>
      </w:r>
      <w:r>
        <w:t xml:space="preserve"> </w:t>
      </w:r>
      <w:r w:rsidR="006311A3" w:rsidRPr="006311A3">
        <w:t xml:space="preserve">at 10 Caledonia Street, St Andrews </w:t>
      </w:r>
      <w:r w:rsidR="00006D97">
        <w:t xml:space="preserve">is of local </w:t>
      </w:r>
      <w:r w:rsidR="00006D97" w:rsidRPr="00441CDE">
        <w:t>historic</w:t>
      </w:r>
      <w:r w:rsidR="00520C73" w:rsidRPr="00441CDE">
        <w:t>al</w:t>
      </w:r>
      <w:r w:rsidR="00A12CA2">
        <w:t xml:space="preserve"> and</w:t>
      </w:r>
      <w:r w:rsidR="00006D97" w:rsidRPr="00441CDE">
        <w:t xml:space="preserve"> representative</w:t>
      </w:r>
      <w:r w:rsidR="006903D4" w:rsidRPr="00441CDE">
        <w:t xml:space="preserve"> </w:t>
      </w:r>
      <w:r w:rsidR="00006D97" w:rsidRPr="00441CDE">
        <w:t xml:space="preserve">significance to the </w:t>
      </w:r>
      <w:r w:rsidR="006311A3" w:rsidRPr="00441CDE">
        <w:t>Shire</w:t>
      </w:r>
      <w:r w:rsidR="00006D97" w:rsidRPr="00441CDE">
        <w:t xml:space="preserve"> of </w:t>
      </w:r>
      <w:r w:rsidR="006311A3" w:rsidRPr="00441CDE">
        <w:t>Nillumbik</w:t>
      </w:r>
      <w:r w:rsidR="00006D97" w:rsidRPr="00441CDE">
        <w:t>.</w:t>
      </w:r>
    </w:p>
    <w:p w14:paraId="3133844A" w14:textId="7DB4B2AE" w:rsidR="00006D97" w:rsidRPr="00441CDE" w:rsidRDefault="00006D97" w:rsidP="0004104D">
      <w:pPr>
        <w:pStyle w:val="Citation-Heading4"/>
      </w:pPr>
      <w:r w:rsidRPr="00441CDE">
        <w:t xml:space="preserve">WHY </w:t>
      </w:r>
      <w:r w:rsidR="00EB3BCB" w:rsidRPr="00441CDE">
        <w:t>IS IT</w:t>
      </w:r>
      <w:r w:rsidRPr="00441CDE">
        <w:t xml:space="preserve"> SIGNIFICANT?</w:t>
      </w:r>
    </w:p>
    <w:p w14:paraId="1837BBB1" w14:textId="69F6A09E" w:rsidR="005850E6" w:rsidRPr="00441CDE" w:rsidRDefault="00A61593" w:rsidP="000F1E56">
      <w:pPr>
        <w:pStyle w:val="Citation-Bullet1"/>
        <w:numPr>
          <w:ilvl w:val="0"/>
          <w:numId w:val="0"/>
        </w:numPr>
      </w:pPr>
      <w:r w:rsidRPr="00A61593">
        <w:t>St Andrews General Store and House</w:t>
      </w:r>
      <w:r w:rsidR="00661DF3" w:rsidRPr="006311A3">
        <w:t xml:space="preserve"> at </w:t>
      </w:r>
      <w:r w:rsidR="005850E6" w:rsidRPr="00441CDE">
        <w:t>10 Caledonia Street, St Andrews</w:t>
      </w:r>
      <w:r w:rsidR="00553E1D">
        <w:t>,</w:t>
      </w:r>
      <w:r w:rsidR="005850E6" w:rsidRPr="00441CDE">
        <w:t xml:space="preserve"> is historically significant as it demonstrates commercial retail development within the township during the interwar period. This is enhanced by its continued use as a shop. </w:t>
      </w:r>
      <w:r w:rsidR="000F1E56" w:rsidRPr="007B3A8E">
        <w:t xml:space="preserve">Signage and noticeboards surrounding the shop have long been in use at this site. </w:t>
      </w:r>
      <w:r w:rsidR="00EA4F39">
        <w:t>They</w:t>
      </w:r>
      <w:r w:rsidR="000F1E56" w:rsidRPr="007B3A8E">
        <w:t xml:space="preserve"> enhance the character of the shop and emphasise its ongoing use as a place for the transmission of community information.</w:t>
      </w:r>
      <w:r w:rsidR="00661DF3">
        <w:t xml:space="preserve"> </w:t>
      </w:r>
      <w:r w:rsidR="00661DF3" w:rsidRPr="006311A3">
        <w:t xml:space="preserve">St Andrews General Store </w:t>
      </w:r>
      <w:r w:rsidR="00661DF3">
        <w:t xml:space="preserve">is also important </w:t>
      </w:r>
      <w:r w:rsidR="00D9722A">
        <w:t>for</w:t>
      </w:r>
      <w:r w:rsidR="00A12CA2">
        <w:t xml:space="preserve"> its continuing role as </w:t>
      </w:r>
      <w:r w:rsidR="00661DF3">
        <w:t>a meeting place</w:t>
      </w:r>
      <w:r w:rsidR="00A12CA2">
        <w:t xml:space="preserve"> for the St Andrews community.</w:t>
      </w:r>
      <w:r w:rsidR="000F1E56">
        <w:t xml:space="preserve"> </w:t>
      </w:r>
      <w:r w:rsidR="005850E6" w:rsidRPr="00441CDE">
        <w:t>(Criterion A)</w:t>
      </w:r>
    </w:p>
    <w:p w14:paraId="49DD8776" w14:textId="6A353B40" w:rsidR="005850E6" w:rsidRDefault="00817DE2" w:rsidP="00A12CA2">
      <w:pPr>
        <w:pStyle w:val="Citation-Bodytext"/>
      </w:pPr>
      <w:r w:rsidRPr="00441CDE">
        <w:t>10 Caledonia Street, St Andrews</w:t>
      </w:r>
      <w:r w:rsidR="00553E1D">
        <w:t>,</w:t>
      </w:r>
      <w:r w:rsidRPr="00441CDE">
        <w:t xml:space="preserve"> has representative significance as i</w:t>
      </w:r>
      <w:r w:rsidR="00750A93" w:rsidRPr="00441CDE">
        <w:t>t demonstrates the interwar shop</w:t>
      </w:r>
      <w:r w:rsidR="00A61593">
        <w:t xml:space="preserve"> and residence</w:t>
      </w:r>
      <w:r w:rsidR="00750A93" w:rsidRPr="00441CDE">
        <w:t xml:space="preserve"> typology with notable features such as weatherboard cladding, gabled roof </w:t>
      </w:r>
      <w:r w:rsidR="00CD4E7A">
        <w:t xml:space="preserve">form </w:t>
      </w:r>
      <w:r w:rsidR="00750A93" w:rsidRPr="00441CDE">
        <w:t>and overall modest construction</w:t>
      </w:r>
      <w:r w:rsidR="00D1408D">
        <w:t>.</w:t>
      </w:r>
      <w:r w:rsidR="00B21DF6">
        <w:t xml:space="preserve"> Its location on a main street at the centre of </w:t>
      </w:r>
      <w:r w:rsidR="009249D5">
        <w:t>the township is also a key characteristic of the type.</w:t>
      </w:r>
      <w:r w:rsidR="006903D4" w:rsidRPr="00441CDE">
        <w:t xml:space="preserve"> (Criterion D)</w:t>
      </w:r>
      <w:r w:rsidR="00A12CA2">
        <w:t xml:space="preserve"> </w:t>
      </w:r>
    </w:p>
    <w:p w14:paraId="1628F4D8" w14:textId="5CDCEE7E" w:rsidR="00107AC8" w:rsidRDefault="00107AC8" w:rsidP="005850E6">
      <w:pPr>
        <w:pStyle w:val="Citation-Bodytext"/>
      </w:pPr>
      <w:r>
        <w:br w:type="page"/>
      </w:r>
    </w:p>
    <w:p w14:paraId="2066E014" w14:textId="77777777" w:rsidR="00006D97" w:rsidRDefault="00006D97" w:rsidP="00EB3BCB">
      <w:pPr>
        <w:pStyle w:val="Citation-Heading3"/>
      </w:pPr>
      <w:r>
        <w:lastRenderedPageBreak/>
        <w:t>RECOMMENDATIONS</w:t>
      </w:r>
    </w:p>
    <w:p w14:paraId="25AF26E6" w14:textId="20DEFD8E" w:rsidR="00006D97" w:rsidRDefault="00006D97" w:rsidP="00A36AA1">
      <w:pPr>
        <w:pStyle w:val="Citation-Bodytext"/>
      </w:pPr>
      <w:r>
        <w:t xml:space="preserve">Recommended for inclusion in the Schedule to the Heritage Overlay of the </w:t>
      </w:r>
      <w:r w:rsidR="006311A3">
        <w:t>Nillumbik</w:t>
      </w:r>
      <w:r>
        <w:t xml:space="preserve"> Planning Scheme as an </w:t>
      </w:r>
      <w:r w:rsidR="009C4FC1">
        <w:t>I</w:t>
      </w:r>
      <w:r>
        <w:t xml:space="preserve">ndividually </w:t>
      </w:r>
      <w:r w:rsidR="009C4FC1">
        <w:t>S</w:t>
      </w:r>
      <w:r>
        <w:t>ignificant place.</w:t>
      </w:r>
    </w:p>
    <w:p w14:paraId="4B7411E8" w14:textId="77777777" w:rsidR="00006D97" w:rsidRDefault="00006D97" w:rsidP="00A36AA1">
      <w:pPr>
        <w:pStyle w:val="Citation-Bodytext"/>
      </w:pPr>
      <w:r w:rsidRPr="00C172EA">
        <w:rPr>
          <w:rStyle w:val="Citation-Boldcharacterstyle"/>
        </w:rPr>
        <w:t>Extent of overlay:</w:t>
      </w:r>
      <w:r>
        <w:t xml:space="preserve"> </w:t>
      </w:r>
      <w:r w:rsidRPr="00107AC8">
        <w:t>To title boundaries</w:t>
      </w:r>
    </w:p>
    <w:p w14:paraId="3EDFCEA4" w14:textId="6921DCA1" w:rsidR="00006D97" w:rsidRDefault="00006D97" w:rsidP="00A36AA1">
      <w:pPr>
        <w:pStyle w:val="Citation-Bodytext"/>
      </w:pPr>
      <w:r>
        <w:t xml:space="preserve">Recommendations for the Schedule to the Heritage Overlay (Clause 43.01) in the </w:t>
      </w:r>
      <w:r w:rsidR="006903D4">
        <w:t>Nillumbik</w:t>
      </w:r>
      <w:r>
        <w:t xml:space="preserve"> Planning Scheme:</w:t>
      </w:r>
    </w:p>
    <w:p w14:paraId="2B074FDB" w14:textId="5319FB4E" w:rsidR="0004104D" w:rsidRDefault="006311A3" w:rsidP="0004104D">
      <w:pPr>
        <w:pStyle w:val="Citation-Heading4"/>
      </w:pPr>
      <w:r>
        <w:t>Nillumbik</w:t>
      </w:r>
      <w:r w:rsidR="00450878">
        <w:t xml:space="preserve"> </w:t>
      </w:r>
      <w:r w:rsidR="00450878" w:rsidRPr="00B50651">
        <w:t>Planning Scheme</w:t>
      </w:r>
    </w:p>
    <w:tbl>
      <w:tblPr>
        <w:tblW w:w="7090" w:type="dxa"/>
        <w:tblBorders>
          <w:top w:val="single" w:sz="4" w:space="0" w:color="auto"/>
          <w:bottom w:val="single" w:sz="4" w:space="0" w:color="auto"/>
          <w:insideH w:val="single" w:sz="4" w:space="0" w:color="BFBFBF"/>
          <w:insideV w:val="single" w:sz="4" w:space="0" w:color="BFBFBF"/>
        </w:tblBorders>
        <w:tblCellMar>
          <w:top w:w="28" w:type="dxa"/>
          <w:bottom w:w="28" w:type="dxa"/>
        </w:tblCellMar>
        <w:tblLook w:val="04A0" w:firstRow="1" w:lastRow="0" w:firstColumn="1" w:lastColumn="0" w:noHBand="0" w:noVBand="1"/>
      </w:tblPr>
      <w:tblGrid>
        <w:gridCol w:w="5670"/>
        <w:gridCol w:w="1420"/>
      </w:tblGrid>
      <w:tr w:rsidR="009A6951" w:rsidRPr="00B50651" w14:paraId="12AA265A" w14:textId="77777777" w:rsidTr="001810BC">
        <w:trPr>
          <w:trHeight w:hRule="exact" w:val="567"/>
        </w:trPr>
        <w:tc>
          <w:tcPr>
            <w:tcW w:w="5670" w:type="dxa"/>
            <w:shd w:val="clear" w:color="auto" w:fill="auto"/>
            <w:vAlign w:val="center"/>
          </w:tcPr>
          <w:p w14:paraId="528F5C13" w14:textId="77777777" w:rsidR="009A6951" w:rsidRPr="00B50651" w:rsidRDefault="00450878" w:rsidP="009A6951">
            <w:pPr>
              <w:pStyle w:val="Citation-Tabletext"/>
            </w:pPr>
            <w:r w:rsidRPr="00B50651">
              <w:t>External paint controls</w:t>
            </w:r>
          </w:p>
        </w:tc>
        <w:tc>
          <w:tcPr>
            <w:tcW w:w="1420" w:type="dxa"/>
            <w:shd w:val="clear" w:color="auto" w:fill="auto"/>
            <w:vAlign w:val="center"/>
          </w:tcPr>
          <w:p w14:paraId="60CC24BC" w14:textId="77777777" w:rsidR="009A6951" w:rsidRPr="009E4F21" w:rsidRDefault="009A6951" w:rsidP="009A6951">
            <w:pPr>
              <w:pStyle w:val="Citation-Tabletext"/>
            </w:pPr>
            <w:r w:rsidRPr="009E4F21">
              <w:t>No</w:t>
            </w:r>
          </w:p>
        </w:tc>
      </w:tr>
      <w:tr w:rsidR="009A6951" w:rsidRPr="00B50651" w14:paraId="605B2755" w14:textId="77777777" w:rsidTr="001810BC">
        <w:trPr>
          <w:trHeight w:hRule="exact" w:val="567"/>
        </w:trPr>
        <w:tc>
          <w:tcPr>
            <w:tcW w:w="5670" w:type="dxa"/>
            <w:shd w:val="clear" w:color="auto" w:fill="auto"/>
            <w:vAlign w:val="center"/>
          </w:tcPr>
          <w:p w14:paraId="248E0D4F" w14:textId="77777777" w:rsidR="009A6951" w:rsidRPr="00B50651" w:rsidRDefault="00450878" w:rsidP="009A6951">
            <w:pPr>
              <w:pStyle w:val="Citation-Tabletext"/>
            </w:pPr>
            <w:r w:rsidRPr="00B50651">
              <w:t xml:space="preserve">Internal alteration controls </w:t>
            </w:r>
          </w:p>
        </w:tc>
        <w:tc>
          <w:tcPr>
            <w:tcW w:w="1420" w:type="dxa"/>
            <w:shd w:val="clear" w:color="auto" w:fill="auto"/>
            <w:vAlign w:val="center"/>
          </w:tcPr>
          <w:p w14:paraId="78A15587" w14:textId="77777777" w:rsidR="009A6951" w:rsidRPr="009E4F21" w:rsidRDefault="009A6951" w:rsidP="009A6951">
            <w:pPr>
              <w:pStyle w:val="Citation-Tabletext"/>
            </w:pPr>
            <w:r w:rsidRPr="009E4F21">
              <w:t>No</w:t>
            </w:r>
          </w:p>
        </w:tc>
      </w:tr>
      <w:tr w:rsidR="009A6951" w:rsidRPr="00B50651" w14:paraId="7857C8BA" w14:textId="77777777" w:rsidTr="001810BC">
        <w:trPr>
          <w:trHeight w:hRule="exact" w:val="567"/>
        </w:trPr>
        <w:tc>
          <w:tcPr>
            <w:tcW w:w="5670" w:type="dxa"/>
            <w:shd w:val="clear" w:color="auto" w:fill="auto"/>
            <w:vAlign w:val="center"/>
          </w:tcPr>
          <w:p w14:paraId="2400DB7F" w14:textId="77777777" w:rsidR="009A6951" w:rsidRPr="00B50651" w:rsidRDefault="00450878" w:rsidP="009A6951">
            <w:pPr>
              <w:pStyle w:val="Citation-Tabletext"/>
            </w:pPr>
            <w:r w:rsidRPr="00B50651">
              <w:t xml:space="preserve">Tree controls </w:t>
            </w:r>
          </w:p>
        </w:tc>
        <w:tc>
          <w:tcPr>
            <w:tcW w:w="1420" w:type="dxa"/>
            <w:shd w:val="clear" w:color="auto" w:fill="auto"/>
            <w:vAlign w:val="center"/>
          </w:tcPr>
          <w:p w14:paraId="4FF15507" w14:textId="77777777" w:rsidR="009A6951" w:rsidRPr="009E4F21" w:rsidRDefault="009A6951" w:rsidP="009A6951">
            <w:pPr>
              <w:pStyle w:val="Citation-Tabletext"/>
            </w:pPr>
            <w:r w:rsidRPr="009E4F21">
              <w:t>No</w:t>
            </w:r>
          </w:p>
        </w:tc>
      </w:tr>
      <w:tr w:rsidR="009A6951" w:rsidRPr="00B50651" w14:paraId="6CCC5429" w14:textId="77777777" w:rsidTr="001810BC">
        <w:trPr>
          <w:trHeight w:hRule="exact" w:val="567"/>
        </w:trPr>
        <w:tc>
          <w:tcPr>
            <w:tcW w:w="5670" w:type="dxa"/>
            <w:shd w:val="clear" w:color="auto" w:fill="auto"/>
            <w:vAlign w:val="center"/>
          </w:tcPr>
          <w:p w14:paraId="5ABC89F2" w14:textId="77777777" w:rsidR="009A6951" w:rsidRPr="0012537B" w:rsidRDefault="00450878" w:rsidP="009A6951">
            <w:pPr>
              <w:pStyle w:val="Citation-Tabletext"/>
            </w:pPr>
            <w:r w:rsidRPr="00B50651">
              <w:t>Outbuildings or fences</w:t>
            </w:r>
          </w:p>
        </w:tc>
        <w:tc>
          <w:tcPr>
            <w:tcW w:w="1420" w:type="dxa"/>
            <w:shd w:val="clear" w:color="auto" w:fill="auto"/>
            <w:vAlign w:val="center"/>
          </w:tcPr>
          <w:p w14:paraId="0E04E4DB" w14:textId="77777777" w:rsidR="009A6951" w:rsidRPr="009E4F21" w:rsidRDefault="009A6951" w:rsidP="009A6951">
            <w:pPr>
              <w:pStyle w:val="Citation-Tabletext"/>
            </w:pPr>
            <w:r w:rsidRPr="009E4F21">
              <w:t>No</w:t>
            </w:r>
          </w:p>
        </w:tc>
      </w:tr>
      <w:tr w:rsidR="009A6951" w:rsidRPr="00B50651" w14:paraId="13C7838B" w14:textId="77777777" w:rsidTr="001810BC">
        <w:trPr>
          <w:trHeight w:hRule="exact" w:val="567"/>
        </w:trPr>
        <w:tc>
          <w:tcPr>
            <w:tcW w:w="5670" w:type="dxa"/>
            <w:shd w:val="clear" w:color="auto" w:fill="auto"/>
            <w:vAlign w:val="center"/>
          </w:tcPr>
          <w:p w14:paraId="75C5A858" w14:textId="14541405" w:rsidR="009A6951" w:rsidRPr="00B50651" w:rsidRDefault="00450878" w:rsidP="009A6951">
            <w:pPr>
              <w:pStyle w:val="Citation-Tabletext"/>
            </w:pPr>
            <w:r w:rsidRPr="00B50651">
              <w:t xml:space="preserve">To be included on the </w:t>
            </w:r>
            <w:r w:rsidR="00E863C7">
              <w:t>V</w:t>
            </w:r>
            <w:r w:rsidRPr="00B50651">
              <w:t xml:space="preserve">ictorian </w:t>
            </w:r>
            <w:r w:rsidR="00E863C7">
              <w:t>H</w:t>
            </w:r>
            <w:r w:rsidRPr="00B50651">
              <w:t xml:space="preserve">eritage </w:t>
            </w:r>
            <w:r w:rsidR="00E863C7">
              <w:t>R</w:t>
            </w:r>
            <w:r w:rsidRPr="00B50651">
              <w:t>egister</w:t>
            </w:r>
          </w:p>
        </w:tc>
        <w:tc>
          <w:tcPr>
            <w:tcW w:w="1420" w:type="dxa"/>
            <w:shd w:val="clear" w:color="auto" w:fill="auto"/>
            <w:vAlign w:val="center"/>
          </w:tcPr>
          <w:p w14:paraId="3AD8371F" w14:textId="77777777" w:rsidR="009A6951" w:rsidRPr="009E4F21" w:rsidRDefault="009A6951" w:rsidP="009A6951">
            <w:pPr>
              <w:pStyle w:val="Citation-Tabletext"/>
            </w:pPr>
            <w:r w:rsidRPr="009E4F21">
              <w:t>No</w:t>
            </w:r>
          </w:p>
        </w:tc>
      </w:tr>
      <w:tr w:rsidR="009A6951" w:rsidRPr="00B50651" w14:paraId="0B7467A9" w14:textId="77777777" w:rsidTr="001810BC">
        <w:trPr>
          <w:trHeight w:hRule="exact" w:val="567"/>
        </w:trPr>
        <w:tc>
          <w:tcPr>
            <w:tcW w:w="5670" w:type="dxa"/>
            <w:shd w:val="clear" w:color="auto" w:fill="auto"/>
            <w:vAlign w:val="center"/>
          </w:tcPr>
          <w:p w14:paraId="680E38D2" w14:textId="77777777" w:rsidR="009A6951" w:rsidRPr="00B50651" w:rsidRDefault="00450878" w:rsidP="009A6951">
            <w:pPr>
              <w:pStyle w:val="Citation-Tabletext"/>
            </w:pPr>
            <w:r w:rsidRPr="00B50651">
              <w:t>Prohibited uses may be permitted</w:t>
            </w:r>
          </w:p>
        </w:tc>
        <w:tc>
          <w:tcPr>
            <w:tcW w:w="1420" w:type="dxa"/>
            <w:shd w:val="clear" w:color="auto" w:fill="auto"/>
            <w:vAlign w:val="center"/>
          </w:tcPr>
          <w:p w14:paraId="04A6BB84" w14:textId="77777777" w:rsidR="009A6951" w:rsidRPr="009E4F21" w:rsidRDefault="009A6951" w:rsidP="009A6951">
            <w:pPr>
              <w:pStyle w:val="Citation-Tabletext"/>
            </w:pPr>
            <w:r w:rsidRPr="009E4F21">
              <w:t>No</w:t>
            </w:r>
          </w:p>
        </w:tc>
      </w:tr>
      <w:tr w:rsidR="009A6951" w:rsidRPr="00B50651" w14:paraId="693BA83E" w14:textId="77777777" w:rsidTr="001810BC">
        <w:trPr>
          <w:trHeight w:hRule="exact" w:val="567"/>
        </w:trPr>
        <w:tc>
          <w:tcPr>
            <w:tcW w:w="5670" w:type="dxa"/>
            <w:shd w:val="clear" w:color="auto" w:fill="auto"/>
            <w:vAlign w:val="center"/>
          </w:tcPr>
          <w:p w14:paraId="0BB9746C" w14:textId="77777777" w:rsidR="009A6951" w:rsidRPr="00B50651" w:rsidRDefault="00450878" w:rsidP="009A6951">
            <w:pPr>
              <w:pStyle w:val="Citation-Tabletext"/>
            </w:pPr>
            <w:r w:rsidRPr="00B50651">
              <w:t>Aboriginal heritage place</w:t>
            </w:r>
          </w:p>
        </w:tc>
        <w:tc>
          <w:tcPr>
            <w:tcW w:w="1420" w:type="dxa"/>
            <w:shd w:val="clear" w:color="auto" w:fill="auto"/>
            <w:vAlign w:val="center"/>
          </w:tcPr>
          <w:p w14:paraId="64B40549" w14:textId="77777777" w:rsidR="009A6951" w:rsidRPr="009E4F21" w:rsidRDefault="009A6951" w:rsidP="009A6951">
            <w:pPr>
              <w:pStyle w:val="Citation-Tabletext"/>
            </w:pPr>
            <w:r w:rsidRPr="009E4F21">
              <w:t>No</w:t>
            </w:r>
          </w:p>
        </w:tc>
      </w:tr>
    </w:tbl>
    <w:p w14:paraId="30B253DA" w14:textId="77777777" w:rsidR="00006D97" w:rsidRPr="0004104D" w:rsidRDefault="00450878" w:rsidP="0004104D">
      <w:pPr>
        <w:pStyle w:val="Citation-Heading4"/>
      </w:pPr>
      <w:r w:rsidRPr="0004104D">
        <w:t>Other</w:t>
      </w:r>
    </w:p>
    <w:p w14:paraId="4447994D" w14:textId="7890B497" w:rsidR="009A6951" w:rsidRPr="00107AC8" w:rsidRDefault="00006D97" w:rsidP="00A36AA1">
      <w:pPr>
        <w:pStyle w:val="Citation-Bodytext"/>
      </w:pPr>
      <w:r w:rsidRPr="00107AC8">
        <w:t>N/A</w:t>
      </w:r>
    </w:p>
    <w:p w14:paraId="09D10747" w14:textId="77777777" w:rsidR="009A6951" w:rsidRDefault="009A6951">
      <w:pPr>
        <w:rPr>
          <w:rFonts w:ascii="Arial" w:hAnsi="Arial"/>
          <w:sz w:val="20"/>
          <w:highlight w:val="lightGray"/>
        </w:rPr>
      </w:pPr>
      <w:r>
        <w:rPr>
          <w:highlight w:val="lightGray"/>
        </w:rPr>
        <w:br w:type="page"/>
      </w:r>
    </w:p>
    <w:p w14:paraId="3310DC47" w14:textId="0CC267BE" w:rsidR="00006D97" w:rsidRDefault="00006D97" w:rsidP="009A6951">
      <w:pPr>
        <w:pStyle w:val="Citation-Heading3"/>
      </w:pPr>
      <w:r>
        <w:lastRenderedPageBreak/>
        <w:t>REFERENCES</w:t>
      </w:r>
    </w:p>
    <w:p w14:paraId="7A227178" w14:textId="77777777" w:rsidR="00337370" w:rsidRPr="00D618CD" w:rsidRDefault="00337370" w:rsidP="00062F69">
      <w:pPr>
        <w:pStyle w:val="Citation-Bodytext"/>
      </w:pPr>
      <w:r w:rsidRPr="00D618CD">
        <w:rPr>
          <w:i/>
          <w:iCs/>
        </w:rPr>
        <w:t>Advertiser</w:t>
      </w:r>
      <w:r w:rsidRPr="00D618CD">
        <w:t>, as cited.</w:t>
      </w:r>
    </w:p>
    <w:p w14:paraId="1668062D" w14:textId="77777777" w:rsidR="00337370" w:rsidRPr="00D618CD" w:rsidRDefault="00337370" w:rsidP="00062F69">
      <w:pPr>
        <w:pStyle w:val="Citation-Bodytext"/>
      </w:pPr>
      <w:r w:rsidRPr="00D618CD">
        <w:rPr>
          <w:i/>
          <w:iCs/>
        </w:rPr>
        <w:t xml:space="preserve">Age, </w:t>
      </w:r>
      <w:r w:rsidRPr="00D618CD">
        <w:t>as cited.</w:t>
      </w:r>
    </w:p>
    <w:p w14:paraId="2AD10183" w14:textId="1CB466C3" w:rsidR="006847C4" w:rsidRDefault="006847C4" w:rsidP="006847C4">
      <w:pPr>
        <w:pStyle w:val="Citation-Bodytext"/>
      </w:pPr>
      <w:r>
        <w:t xml:space="preserve">Blake, Leslie J (ed) 1973, </w:t>
      </w:r>
      <w:r w:rsidRPr="006847C4">
        <w:rPr>
          <w:rStyle w:val="Citation-Italicscharacterstyle"/>
        </w:rPr>
        <w:t>Vision and Realisation: A centenary History of State Education in Victoria</w:t>
      </w:r>
      <w:r w:rsidR="009B37C5">
        <w:rPr>
          <w:rStyle w:val="Citation-Italicscharacterstyle"/>
        </w:rPr>
        <w:t>,</w:t>
      </w:r>
      <w:r>
        <w:t xml:space="preserve"> </w:t>
      </w:r>
      <w:r w:rsidR="009B37C5">
        <w:t>vol</w:t>
      </w:r>
      <w:r>
        <w:t xml:space="preserve"> 3, Melbourne, Education Department of Victoria.</w:t>
      </w:r>
    </w:p>
    <w:p w14:paraId="2F33CB65" w14:textId="77777777" w:rsidR="006847C4" w:rsidRDefault="006847C4" w:rsidP="006847C4">
      <w:pPr>
        <w:pStyle w:val="Citation-Bodytext"/>
      </w:pPr>
      <w:r>
        <w:t>Butler, Graeme, and Associates 1996, ‘Nillumbik Shire Heritage Review – Environmental History’, Prepared for the Shire of Nillumbik.</w:t>
      </w:r>
    </w:p>
    <w:p w14:paraId="710E9C22" w14:textId="77777777" w:rsidR="002D05D9" w:rsidRPr="002D05D9" w:rsidRDefault="006847C4" w:rsidP="002D05D9">
      <w:pPr>
        <w:pStyle w:val="Citation-Bodytext"/>
      </w:pPr>
      <w:r>
        <w:t>Butler, Graeme, and Associates 2006, ‘Heritage Assessments, Shire of Nillumbik Amendment C13’, Prepared for the Shire of Nillumbik.</w:t>
      </w:r>
    </w:p>
    <w:p w14:paraId="2C11D9CF" w14:textId="5EBE0844" w:rsidR="006F1966" w:rsidRDefault="006F1966" w:rsidP="006847C4">
      <w:pPr>
        <w:pStyle w:val="Citation-Bodytext"/>
      </w:pPr>
      <w:r w:rsidRPr="006F1966">
        <w:t xml:space="preserve">Central Plan Office (CPO), Historic Aerial Photography: 1930s to 1990s, as cited, via </w:t>
      </w:r>
      <w:proofErr w:type="spellStart"/>
      <w:r w:rsidRPr="006F1966">
        <w:t>Landata</w:t>
      </w:r>
      <w:proofErr w:type="spellEnd"/>
      <w:r w:rsidRPr="006F1966">
        <w:t>, https://www.landata.vic.gov.au/, accessed online March-April 2021.</w:t>
      </w:r>
    </w:p>
    <w:p w14:paraId="5888B844" w14:textId="77777777" w:rsidR="006847C4" w:rsidRDefault="006847C4" w:rsidP="00206C2E">
      <w:pPr>
        <w:pStyle w:val="Citation-Bodytext"/>
      </w:pPr>
      <w:r w:rsidRPr="00117260">
        <w:rPr>
          <w:rStyle w:val="Citation-Italicscharacterstyle"/>
        </w:rPr>
        <w:t>Eltham and Whittlesea Shires Advertiser and Diamond Creek Valley Advocate</w:t>
      </w:r>
      <w:r>
        <w:t>, as cited.</w:t>
      </w:r>
    </w:p>
    <w:p w14:paraId="4DF2E212" w14:textId="1011E28C" w:rsidR="006847C4" w:rsidRPr="00D618CD" w:rsidRDefault="006847C4" w:rsidP="006847C4">
      <w:pPr>
        <w:pStyle w:val="Citation-Bodytext"/>
      </w:pPr>
      <w:r>
        <w:t xml:space="preserve">Eltham District Historical Society 2000, </w:t>
      </w:r>
      <w:r w:rsidRPr="00117260">
        <w:rPr>
          <w:rStyle w:val="Citation-Italicscharacterstyle"/>
        </w:rPr>
        <w:t>A Chronology of Known Local Events 1835-early 2000 Including those in the Shire of Nillumbik and the former shires of Eltham and Diamond Valley</w:t>
      </w:r>
      <w:r>
        <w:t>, Eltham District Historical Society Incorporated.</w:t>
      </w:r>
    </w:p>
    <w:p w14:paraId="2FC1B04F" w14:textId="32F50A59" w:rsidR="00337370" w:rsidRPr="00D618CD" w:rsidRDefault="00337370" w:rsidP="00062F69">
      <w:pPr>
        <w:pStyle w:val="Citation-Bodytext"/>
      </w:pPr>
      <w:r w:rsidRPr="00D618CD">
        <w:rPr>
          <w:i/>
          <w:iCs/>
        </w:rPr>
        <w:t xml:space="preserve">Facebook </w:t>
      </w:r>
      <w:r w:rsidRPr="00D618CD">
        <w:t>2021, ‘St Andrews General Store and Post Office’, https://www.facebook.com/StAndrewsGeneralStore.3761/, accessed</w:t>
      </w:r>
      <w:r w:rsidR="00F73644">
        <w:t xml:space="preserve"> online</w:t>
      </w:r>
      <w:r w:rsidRPr="00D618CD">
        <w:t xml:space="preserve"> 8 April 2021.</w:t>
      </w:r>
    </w:p>
    <w:p w14:paraId="349596E0" w14:textId="77777777" w:rsidR="00337370" w:rsidRPr="00D618CD" w:rsidRDefault="00337370" w:rsidP="00062F69">
      <w:pPr>
        <w:pStyle w:val="Citation-Bodytext"/>
      </w:pPr>
      <w:r w:rsidRPr="00D618CD">
        <w:t>Land Victoria, Certificates of Title (CT), as cited.</w:t>
      </w:r>
    </w:p>
    <w:p w14:paraId="69C9D07C" w14:textId="07C5C820" w:rsidR="00C879EB" w:rsidRPr="00C879EB" w:rsidRDefault="00337370" w:rsidP="00C879EB">
      <w:pPr>
        <w:pStyle w:val="Citation-Bodytext"/>
      </w:pPr>
      <w:r w:rsidRPr="00D618CD">
        <w:rPr>
          <w:i/>
          <w:iCs/>
        </w:rPr>
        <w:t>Leader</w:t>
      </w:r>
      <w:r w:rsidRPr="00D618CD">
        <w:t>, as cited.</w:t>
      </w:r>
    </w:p>
    <w:p w14:paraId="252234AF" w14:textId="097F9210" w:rsidR="00C22DEE" w:rsidRDefault="006F1966" w:rsidP="00062F69">
      <w:pPr>
        <w:pStyle w:val="Citation-Bodytext"/>
      </w:pPr>
      <w:r w:rsidRPr="006F1966">
        <w:t xml:space="preserve">Mills, Peter &amp; </w:t>
      </w:r>
      <w:proofErr w:type="spellStart"/>
      <w:r w:rsidRPr="006F1966">
        <w:t>Westbrooke</w:t>
      </w:r>
      <w:proofErr w:type="spellEnd"/>
      <w:r w:rsidRPr="006F1966">
        <w:t>, Samantha 2017, ‘Nillumbik Shire Thematic Environmental History – Revision 2016’, prepared for Nillumbik Shire Council.</w:t>
      </w:r>
    </w:p>
    <w:p w14:paraId="7E501F54" w14:textId="77777777" w:rsidR="002D05D9" w:rsidRPr="002D05D9" w:rsidRDefault="00337370" w:rsidP="002D05D9">
      <w:pPr>
        <w:pStyle w:val="Citation-Bodytext"/>
      </w:pPr>
      <w:r w:rsidRPr="00D618CD">
        <w:t>National Archives of Australia (NAA) 1954, St Andrews Post Office, NAA B5919.</w:t>
      </w:r>
    </w:p>
    <w:p w14:paraId="7A8E4CAE" w14:textId="2EBC6C6E" w:rsidR="003529FD" w:rsidRDefault="003529FD" w:rsidP="003529FD">
      <w:pPr>
        <w:pStyle w:val="Citation-Bodytext"/>
      </w:pPr>
      <w:r>
        <w:t xml:space="preserve">Nillumbik Shire 2020, ‘History of the Shire’, </w:t>
      </w:r>
      <w:r w:rsidRPr="003529FD">
        <w:t>https://www.nillumbik.vic.gov.au/</w:t>
      </w:r>
      <w:r>
        <w:t>, accessed online 23 November 2020.</w:t>
      </w:r>
    </w:p>
    <w:p w14:paraId="01345C3D" w14:textId="4020A406" w:rsidR="00764CDF" w:rsidRPr="00D618CD" w:rsidRDefault="003529FD" w:rsidP="003529FD">
      <w:pPr>
        <w:pStyle w:val="Citation-Bodytext"/>
      </w:pPr>
      <w:r>
        <w:t>Nillumbik Shire Council 2015, ‘Nillumbik Heritage Guide’.</w:t>
      </w:r>
    </w:p>
    <w:p w14:paraId="62CEC423" w14:textId="77777777" w:rsidR="002D05D9" w:rsidRPr="002D05D9" w:rsidRDefault="00337370" w:rsidP="002D05D9">
      <w:pPr>
        <w:pStyle w:val="Citation-Bodytext"/>
      </w:pPr>
      <w:r w:rsidRPr="00D618CD">
        <w:rPr>
          <w:i/>
          <w:iCs/>
        </w:rPr>
        <w:t>Queenstown Township Plan</w:t>
      </w:r>
      <w:r w:rsidRPr="00D618CD">
        <w:t xml:space="preserve"> 1951, Melbourne, Department of Crown Lands and Survey.</w:t>
      </w:r>
    </w:p>
    <w:p w14:paraId="3EBF85F3" w14:textId="6292A478" w:rsidR="00587AA1" w:rsidRPr="00D618CD" w:rsidRDefault="00C95D84" w:rsidP="00062F69">
      <w:pPr>
        <w:pStyle w:val="Citation-Bodytext"/>
      </w:pPr>
      <w:r w:rsidRPr="00C95D84">
        <w:t xml:space="preserve">Reynolds, Pat undated, ‘A Short History of the St Andrews Hall’, </w:t>
      </w:r>
      <w:proofErr w:type="spellStart"/>
      <w:r w:rsidRPr="00C95D84">
        <w:t>Wadambuk</w:t>
      </w:r>
      <w:proofErr w:type="spellEnd"/>
      <w:r w:rsidRPr="00C95D84">
        <w:t xml:space="preserve"> St Andrews Community Centre, https://www.standrewscommunitycentre.org/, accessed </w:t>
      </w:r>
      <w:r w:rsidR="00117260">
        <w:t xml:space="preserve">online </w:t>
      </w:r>
      <w:r w:rsidRPr="00C95D84">
        <w:t>20 November 2020.</w:t>
      </w:r>
    </w:p>
    <w:p w14:paraId="31475ED6" w14:textId="77777777" w:rsidR="00337370" w:rsidRPr="00D618CD" w:rsidRDefault="00337370" w:rsidP="00062F69">
      <w:pPr>
        <w:pStyle w:val="Citation-Bodytext"/>
      </w:pPr>
      <w:r w:rsidRPr="00D618CD">
        <w:t xml:space="preserve">St Andrews Primary School Council 1998, </w:t>
      </w:r>
      <w:r w:rsidRPr="00D618CD">
        <w:rPr>
          <w:i/>
          <w:iCs/>
        </w:rPr>
        <w:t>A Village Built on Gold: A History to Present Times of St Andrews and District</w:t>
      </w:r>
      <w:r w:rsidRPr="00D618CD">
        <w:t>, St Andrews, St Andrews Primary School Council.</w:t>
      </w:r>
    </w:p>
    <w:p w14:paraId="3CE5A6D5" w14:textId="77777777" w:rsidR="00117260" w:rsidRDefault="00117260" w:rsidP="00117260">
      <w:pPr>
        <w:pStyle w:val="Citation-Bodytext"/>
      </w:pPr>
      <w:r>
        <w:t xml:space="preserve">Sears’ Studios 1926, ‘Royal Mail coach with passengers, parked outside Post-Office and St Andrew's Hotel, Buggy parked in front. A survival of the good old coaching days at Queenstown, </w:t>
      </w:r>
      <w:proofErr w:type="spellStart"/>
      <w:r>
        <w:t>Vict</w:t>
      </w:r>
      <w:proofErr w:type="spellEnd"/>
      <w:r>
        <w:t>’, State Library Victoria (SLV), accessed online 10 December 2020.</w:t>
      </w:r>
    </w:p>
    <w:p w14:paraId="513DFD6A" w14:textId="77777777" w:rsidR="00117260" w:rsidRDefault="00117260" w:rsidP="00117260">
      <w:pPr>
        <w:pStyle w:val="Citation-Bodytext"/>
      </w:pPr>
      <w:r w:rsidRPr="00117260">
        <w:rPr>
          <w:rStyle w:val="Citation-Italicscharacterstyle"/>
        </w:rPr>
        <w:t>Township of Queenstown</w:t>
      </w:r>
      <w:r>
        <w:t xml:space="preserve"> 1951, Melbourne, Department of Lands and Survey</w:t>
      </w:r>
    </w:p>
    <w:p w14:paraId="522FA2A6" w14:textId="77777777" w:rsidR="00117260" w:rsidRDefault="00117260" w:rsidP="00117260">
      <w:pPr>
        <w:pStyle w:val="Citation-Bodytext"/>
      </w:pPr>
      <w:r>
        <w:lastRenderedPageBreak/>
        <w:t>‘Victorian Gold Project: Historic Gold Mining Sites in the St Andrews Mining Division’ 1999, Melbourne, Department of Natural Resources and Environment.</w:t>
      </w:r>
    </w:p>
    <w:p w14:paraId="19129D1F" w14:textId="55E2F364" w:rsidR="002D05D9" w:rsidRPr="002D05D9" w:rsidRDefault="00117260" w:rsidP="002D05D9">
      <w:pPr>
        <w:pStyle w:val="Citation-Bodytext"/>
      </w:pPr>
      <w:r w:rsidRPr="00117260">
        <w:rPr>
          <w:rStyle w:val="Citation-Italicscharacterstyle"/>
        </w:rPr>
        <w:t>Victorian Places</w:t>
      </w:r>
      <w:r>
        <w:t xml:space="preserve"> 2015, ‘Eltham North’, Monash University and The University of Queensland, https://www.victorianplaces.com.au/, accessed online 10 December 2020.</w:t>
      </w:r>
    </w:p>
    <w:sectPr w:rsidR="002D05D9" w:rsidRPr="002D05D9" w:rsidSect="00B4074E">
      <w:headerReference w:type="default" r:id="rId22"/>
      <w:pgSz w:w="11906" w:h="16838"/>
      <w:pgMar w:top="1440" w:right="1440" w:bottom="1440" w:left="1440" w:header="708"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F57A1" w14:textId="77777777" w:rsidR="00067F79" w:rsidRDefault="00067F79" w:rsidP="00B4074E">
      <w:pPr>
        <w:spacing w:after="0" w:line="240" w:lineRule="auto"/>
      </w:pPr>
      <w:r>
        <w:separator/>
      </w:r>
    </w:p>
  </w:endnote>
  <w:endnote w:type="continuationSeparator" w:id="0">
    <w:p w14:paraId="4476EC9F" w14:textId="77777777" w:rsidR="00067F79" w:rsidRDefault="00067F79" w:rsidP="00B4074E">
      <w:pPr>
        <w:spacing w:after="0" w:line="240" w:lineRule="auto"/>
      </w:pPr>
      <w:r>
        <w:continuationSeparator/>
      </w:r>
    </w:p>
  </w:endnote>
  <w:endnote w:type="continuationNotice" w:id="1">
    <w:p w14:paraId="0D2CEEB0" w14:textId="77777777" w:rsidR="00067F79" w:rsidRDefault="00067F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7F121" w14:textId="77777777" w:rsidR="00067F79" w:rsidRDefault="00067F79" w:rsidP="00B4074E">
      <w:pPr>
        <w:spacing w:after="0" w:line="240" w:lineRule="auto"/>
      </w:pPr>
      <w:r>
        <w:separator/>
      </w:r>
    </w:p>
  </w:footnote>
  <w:footnote w:type="continuationSeparator" w:id="0">
    <w:p w14:paraId="045CEFF2" w14:textId="77777777" w:rsidR="00067F79" w:rsidRDefault="00067F79" w:rsidP="00B4074E">
      <w:pPr>
        <w:spacing w:after="0" w:line="240" w:lineRule="auto"/>
      </w:pPr>
      <w:r>
        <w:continuationSeparator/>
      </w:r>
    </w:p>
  </w:footnote>
  <w:footnote w:type="continuationNotice" w:id="1">
    <w:p w14:paraId="19A6FF43" w14:textId="77777777" w:rsidR="00067F79" w:rsidRDefault="00067F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C85A" w14:textId="77777777" w:rsidR="00B4074E" w:rsidRDefault="00B4074E" w:rsidP="00B4074E">
    <w:pPr>
      <w:jc w:val="right"/>
    </w:pPr>
    <w:r>
      <w:rPr>
        <w:rFonts w:cs="Arial"/>
        <w:b/>
        <w:noProof/>
        <w:color w:val="7F7F7F" w:themeColor="text1" w:themeTint="80"/>
        <w:spacing w:val="4"/>
        <w:sz w:val="18"/>
        <w:szCs w:val="18"/>
      </w:rPr>
      <w:drawing>
        <wp:inline distT="0" distB="0" distL="0" distR="0" wp14:anchorId="35434007" wp14:editId="6FFC2CD3">
          <wp:extent cx="1075354" cy="1758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5354" cy="175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02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2CD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D7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684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6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B0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09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884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81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0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E57EE"/>
    <w:multiLevelType w:val="hybridMultilevel"/>
    <w:tmpl w:val="40D0E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D41E4"/>
    <w:multiLevelType w:val="hybridMultilevel"/>
    <w:tmpl w:val="9FD88EEC"/>
    <w:lvl w:ilvl="0" w:tplc="8E828E02">
      <w:start w:val="1"/>
      <w:numFmt w:val="bullet"/>
      <w:pStyle w:val="Citation-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2671D8"/>
    <w:multiLevelType w:val="hybridMultilevel"/>
    <w:tmpl w:val="653C0534"/>
    <w:lvl w:ilvl="0" w:tplc="E4AC2CCC">
      <w:start w:val="1"/>
      <w:numFmt w:val="bullet"/>
      <w:pStyle w:val="Citation-Bullet1"/>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456CBA"/>
    <w:multiLevelType w:val="multilevel"/>
    <w:tmpl w:val="65A4B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4" w15:restartNumberingAfterBreak="0">
    <w:nsid w:val="2649028F"/>
    <w:multiLevelType w:val="hybridMultilevel"/>
    <w:tmpl w:val="DF766E44"/>
    <w:lvl w:ilvl="0" w:tplc="CEB4696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E655F9"/>
    <w:multiLevelType w:val="hybridMultilevel"/>
    <w:tmpl w:val="97A077FE"/>
    <w:lvl w:ilvl="0" w:tplc="0CE2B83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C45332"/>
    <w:multiLevelType w:val="hybridMultilevel"/>
    <w:tmpl w:val="A0F8CF6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7458A3"/>
    <w:multiLevelType w:val="hybridMultilevel"/>
    <w:tmpl w:val="5BCE5AE6"/>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C47A4C"/>
    <w:multiLevelType w:val="hybridMultilevel"/>
    <w:tmpl w:val="11844E28"/>
    <w:lvl w:ilvl="0" w:tplc="65B08B76">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DC12127"/>
    <w:multiLevelType w:val="hybridMultilevel"/>
    <w:tmpl w:val="15AA9A74"/>
    <w:lvl w:ilvl="0" w:tplc="F9B2B61A">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DF1EEF"/>
    <w:multiLevelType w:val="hybridMultilevel"/>
    <w:tmpl w:val="D3FACBC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E713F3"/>
    <w:multiLevelType w:val="hybridMultilevel"/>
    <w:tmpl w:val="061815E6"/>
    <w:lvl w:ilvl="0" w:tplc="59DE15FE">
      <w:start w:val="1"/>
      <w:numFmt w:val="bullet"/>
      <w:pStyle w:val="Bullet"/>
      <w:lvlText w:val=""/>
      <w:lvlJc w:val="left"/>
      <w:pPr>
        <w:tabs>
          <w:tab w:val="num" w:pos="567"/>
        </w:tabs>
        <w:ind w:left="567" w:hanging="56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0"/>
  </w:num>
  <w:num w:numId="13">
    <w:abstractNumId w:val="17"/>
  </w:num>
  <w:num w:numId="14">
    <w:abstractNumId w:val="14"/>
  </w:num>
  <w:num w:numId="15">
    <w:abstractNumId w:val="18"/>
  </w:num>
  <w:num w:numId="16">
    <w:abstractNumId w:val="15"/>
  </w:num>
  <w:num w:numId="17">
    <w:abstractNumId w:val="19"/>
  </w:num>
  <w:num w:numId="18">
    <w:abstractNumId w:val="16"/>
  </w:num>
  <w:num w:numId="19">
    <w:abstractNumId w:val="12"/>
  </w:num>
  <w:num w:numId="20">
    <w:abstractNumId w:val="12"/>
  </w:num>
  <w:num w:numId="21">
    <w:abstractNumId w:val="11"/>
  </w:num>
  <w:num w:numId="22">
    <w:abstractNumId w:val="2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BCD"/>
    <w:rsid w:val="00000028"/>
    <w:rsid w:val="00006D97"/>
    <w:rsid w:val="000075C0"/>
    <w:rsid w:val="00010C20"/>
    <w:rsid w:val="00012FD0"/>
    <w:rsid w:val="0003203C"/>
    <w:rsid w:val="00035E12"/>
    <w:rsid w:val="00036156"/>
    <w:rsid w:val="0004104D"/>
    <w:rsid w:val="00062604"/>
    <w:rsid w:val="00062F69"/>
    <w:rsid w:val="0006413F"/>
    <w:rsid w:val="00067F79"/>
    <w:rsid w:val="0007055F"/>
    <w:rsid w:val="0007396C"/>
    <w:rsid w:val="00073F5B"/>
    <w:rsid w:val="000803D7"/>
    <w:rsid w:val="00080C91"/>
    <w:rsid w:val="0008556A"/>
    <w:rsid w:val="00094C86"/>
    <w:rsid w:val="000B50C0"/>
    <w:rsid w:val="000E24CF"/>
    <w:rsid w:val="000F1E56"/>
    <w:rsid w:val="000F3C04"/>
    <w:rsid w:val="000F7CC3"/>
    <w:rsid w:val="0010244E"/>
    <w:rsid w:val="00107AC8"/>
    <w:rsid w:val="00110089"/>
    <w:rsid w:val="00117260"/>
    <w:rsid w:val="00117509"/>
    <w:rsid w:val="00117D4A"/>
    <w:rsid w:val="0012127F"/>
    <w:rsid w:val="00132756"/>
    <w:rsid w:val="0013458E"/>
    <w:rsid w:val="001428A8"/>
    <w:rsid w:val="0014406F"/>
    <w:rsid w:val="00150A8E"/>
    <w:rsid w:val="00151255"/>
    <w:rsid w:val="00161CB9"/>
    <w:rsid w:val="00165330"/>
    <w:rsid w:val="00166F43"/>
    <w:rsid w:val="001701FC"/>
    <w:rsid w:val="0017249C"/>
    <w:rsid w:val="001810BC"/>
    <w:rsid w:val="0019124C"/>
    <w:rsid w:val="00195B83"/>
    <w:rsid w:val="001A6548"/>
    <w:rsid w:val="001B1057"/>
    <w:rsid w:val="001B6555"/>
    <w:rsid w:val="001C34C4"/>
    <w:rsid w:val="001D1A03"/>
    <w:rsid w:val="001F0EE2"/>
    <w:rsid w:val="00206C2E"/>
    <w:rsid w:val="00211899"/>
    <w:rsid w:val="00212CEF"/>
    <w:rsid w:val="00215183"/>
    <w:rsid w:val="00215A35"/>
    <w:rsid w:val="002238CA"/>
    <w:rsid w:val="00224C9C"/>
    <w:rsid w:val="00224DDA"/>
    <w:rsid w:val="0023489E"/>
    <w:rsid w:val="002402F0"/>
    <w:rsid w:val="00245C90"/>
    <w:rsid w:val="002540C4"/>
    <w:rsid w:val="0025673F"/>
    <w:rsid w:val="002607FE"/>
    <w:rsid w:val="002813A3"/>
    <w:rsid w:val="00284179"/>
    <w:rsid w:val="00291BF4"/>
    <w:rsid w:val="002934B3"/>
    <w:rsid w:val="002B3CE9"/>
    <w:rsid w:val="002B7F88"/>
    <w:rsid w:val="002C06E2"/>
    <w:rsid w:val="002C7AC9"/>
    <w:rsid w:val="002D05D9"/>
    <w:rsid w:val="002D1B78"/>
    <w:rsid w:val="002D57CB"/>
    <w:rsid w:val="002D6182"/>
    <w:rsid w:val="002E6E05"/>
    <w:rsid w:val="002F4B9C"/>
    <w:rsid w:val="002F6D83"/>
    <w:rsid w:val="002F7968"/>
    <w:rsid w:val="00321444"/>
    <w:rsid w:val="00322267"/>
    <w:rsid w:val="003243E2"/>
    <w:rsid w:val="00326706"/>
    <w:rsid w:val="00337370"/>
    <w:rsid w:val="0035197C"/>
    <w:rsid w:val="00351EF2"/>
    <w:rsid w:val="003529FD"/>
    <w:rsid w:val="003611F8"/>
    <w:rsid w:val="003616AF"/>
    <w:rsid w:val="00362D29"/>
    <w:rsid w:val="00365433"/>
    <w:rsid w:val="00365BBF"/>
    <w:rsid w:val="00367478"/>
    <w:rsid w:val="00367EB6"/>
    <w:rsid w:val="00370840"/>
    <w:rsid w:val="0038356D"/>
    <w:rsid w:val="00385951"/>
    <w:rsid w:val="00395559"/>
    <w:rsid w:val="003A1823"/>
    <w:rsid w:val="003A42AC"/>
    <w:rsid w:val="003B19E4"/>
    <w:rsid w:val="003B1BEB"/>
    <w:rsid w:val="003B7E0E"/>
    <w:rsid w:val="003D43B4"/>
    <w:rsid w:val="003D77DD"/>
    <w:rsid w:val="003E714A"/>
    <w:rsid w:val="003F04B2"/>
    <w:rsid w:val="003F46AE"/>
    <w:rsid w:val="00401F59"/>
    <w:rsid w:val="004044DF"/>
    <w:rsid w:val="00412A05"/>
    <w:rsid w:val="004131C0"/>
    <w:rsid w:val="00416254"/>
    <w:rsid w:val="00423635"/>
    <w:rsid w:val="0042398D"/>
    <w:rsid w:val="00425A26"/>
    <w:rsid w:val="00427C7F"/>
    <w:rsid w:val="004321F3"/>
    <w:rsid w:val="00432B68"/>
    <w:rsid w:val="00441CDE"/>
    <w:rsid w:val="004461D5"/>
    <w:rsid w:val="00450878"/>
    <w:rsid w:val="00451507"/>
    <w:rsid w:val="00452073"/>
    <w:rsid w:val="00453E63"/>
    <w:rsid w:val="0046199A"/>
    <w:rsid w:val="004641D5"/>
    <w:rsid w:val="0048110C"/>
    <w:rsid w:val="00481D10"/>
    <w:rsid w:val="0049741D"/>
    <w:rsid w:val="00497C58"/>
    <w:rsid w:val="004A12E2"/>
    <w:rsid w:val="004A5DE4"/>
    <w:rsid w:val="004B2E55"/>
    <w:rsid w:val="004B345D"/>
    <w:rsid w:val="004B3738"/>
    <w:rsid w:val="004B376E"/>
    <w:rsid w:val="004B76B9"/>
    <w:rsid w:val="004C5113"/>
    <w:rsid w:val="004C5D56"/>
    <w:rsid w:val="004D6624"/>
    <w:rsid w:val="004D6D48"/>
    <w:rsid w:val="004D6E96"/>
    <w:rsid w:val="004E2622"/>
    <w:rsid w:val="004E6F94"/>
    <w:rsid w:val="004F08F3"/>
    <w:rsid w:val="004F3882"/>
    <w:rsid w:val="00500879"/>
    <w:rsid w:val="00512480"/>
    <w:rsid w:val="00513402"/>
    <w:rsid w:val="00520C73"/>
    <w:rsid w:val="005262F1"/>
    <w:rsid w:val="00526C84"/>
    <w:rsid w:val="00530BFD"/>
    <w:rsid w:val="00534B3F"/>
    <w:rsid w:val="00536DDA"/>
    <w:rsid w:val="005376DA"/>
    <w:rsid w:val="00544D69"/>
    <w:rsid w:val="00550DC3"/>
    <w:rsid w:val="00553E1D"/>
    <w:rsid w:val="00554B91"/>
    <w:rsid w:val="00572998"/>
    <w:rsid w:val="005772CE"/>
    <w:rsid w:val="005850E6"/>
    <w:rsid w:val="0058514F"/>
    <w:rsid w:val="00587AA1"/>
    <w:rsid w:val="00590B2E"/>
    <w:rsid w:val="005A1C71"/>
    <w:rsid w:val="005A1C74"/>
    <w:rsid w:val="005A2DCE"/>
    <w:rsid w:val="005A538F"/>
    <w:rsid w:val="005B17C4"/>
    <w:rsid w:val="005B1956"/>
    <w:rsid w:val="005C3592"/>
    <w:rsid w:val="005D3889"/>
    <w:rsid w:val="005E43E2"/>
    <w:rsid w:val="005F4DF6"/>
    <w:rsid w:val="0060350E"/>
    <w:rsid w:val="00604548"/>
    <w:rsid w:val="00610B16"/>
    <w:rsid w:val="00612B0F"/>
    <w:rsid w:val="00617CA3"/>
    <w:rsid w:val="006208AC"/>
    <w:rsid w:val="006268B6"/>
    <w:rsid w:val="006277E5"/>
    <w:rsid w:val="006311A3"/>
    <w:rsid w:val="00640845"/>
    <w:rsid w:val="00643ED8"/>
    <w:rsid w:val="00650D2F"/>
    <w:rsid w:val="00654557"/>
    <w:rsid w:val="00661DF3"/>
    <w:rsid w:val="00665BD3"/>
    <w:rsid w:val="00674A8E"/>
    <w:rsid w:val="00676BCB"/>
    <w:rsid w:val="006847C4"/>
    <w:rsid w:val="00686BBD"/>
    <w:rsid w:val="006903D4"/>
    <w:rsid w:val="0069718A"/>
    <w:rsid w:val="006A61C7"/>
    <w:rsid w:val="006A6988"/>
    <w:rsid w:val="006A6A73"/>
    <w:rsid w:val="006A7248"/>
    <w:rsid w:val="006B3851"/>
    <w:rsid w:val="006B468E"/>
    <w:rsid w:val="006B6E41"/>
    <w:rsid w:val="006C0BBA"/>
    <w:rsid w:val="006C2275"/>
    <w:rsid w:val="006C4C98"/>
    <w:rsid w:val="006C539F"/>
    <w:rsid w:val="006D0BAD"/>
    <w:rsid w:val="006D623C"/>
    <w:rsid w:val="006E075F"/>
    <w:rsid w:val="006E26F7"/>
    <w:rsid w:val="006E3A7D"/>
    <w:rsid w:val="006E50D6"/>
    <w:rsid w:val="006F07C3"/>
    <w:rsid w:val="006F10B8"/>
    <w:rsid w:val="006F1966"/>
    <w:rsid w:val="006F1A18"/>
    <w:rsid w:val="00707E9A"/>
    <w:rsid w:val="00711B04"/>
    <w:rsid w:val="00712549"/>
    <w:rsid w:val="0071617D"/>
    <w:rsid w:val="0071758E"/>
    <w:rsid w:val="007232D7"/>
    <w:rsid w:val="00750A93"/>
    <w:rsid w:val="00751148"/>
    <w:rsid w:val="00760639"/>
    <w:rsid w:val="00761B92"/>
    <w:rsid w:val="00764CDF"/>
    <w:rsid w:val="00766396"/>
    <w:rsid w:val="00775E73"/>
    <w:rsid w:val="00780EBB"/>
    <w:rsid w:val="007819C2"/>
    <w:rsid w:val="00785900"/>
    <w:rsid w:val="00792B22"/>
    <w:rsid w:val="0079312E"/>
    <w:rsid w:val="00797155"/>
    <w:rsid w:val="007A3558"/>
    <w:rsid w:val="007A7155"/>
    <w:rsid w:val="007A7288"/>
    <w:rsid w:val="007B073D"/>
    <w:rsid w:val="007B3A8E"/>
    <w:rsid w:val="007B4072"/>
    <w:rsid w:val="007B7326"/>
    <w:rsid w:val="007C05A9"/>
    <w:rsid w:val="007C326E"/>
    <w:rsid w:val="007C3534"/>
    <w:rsid w:val="007C4A20"/>
    <w:rsid w:val="007D2018"/>
    <w:rsid w:val="007D67AC"/>
    <w:rsid w:val="007F25C4"/>
    <w:rsid w:val="00801E55"/>
    <w:rsid w:val="00806E2F"/>
    <w:rsid w:val="00812791"/>
    <w:rsid w:val="00817DE2"/>
    <w:rsid w:val="008236E3"/>
    <w:rsid w:val="00826D85"/>
    <w:rsid w:val="008274F7"/>
    <w:rsid w:val="008334F7"/>
    <w:rsid w:val="00835708"/>
    <w:rsid w:val="00836076"/>
    <w:rsid w:val="00840BF3"/>
    <w:rsid w:val="00845F41"/>
    <w:rsid w:val="008539E2"/>
    <w:rsid w:val="00860A86"/>
    <w:rsid w:val="00870A6A"/>
    <w:rsid w:val="008755AD"/>
    <w:rsid w:val="00882705"/>
    <w:rsid w:val="00886D53"/>
    <w:rsid w:val="008871B5"/>
    <w:rsid w:val="0089144B"/>
    <w:rsid w:val="00892370"/>
    <w:rsid w:val="008A3613"/>
    <w:rsid w:val="008B797A"/>
    <w:rsid w:val="008C19F9"/>
    <w:rsid w:val="008D5287"/>
    <w:rsid w:val="008D7E6A"/>
    <w:rsid w:val="008E6A72"/>
    <w:rsid w:val="008E7D36"/>
    <w:rsid w:val="00910F21"/>
    <w:rsid w:val="00913382"/>
    <w:rsid w:val="009249D5"/>
    <w:rsid w:val="00926B91"/>
    <w:rsid w:val="00934E98"/>
    <w:rsid w:val="00943396"/>
    <w:rsid w:val="00943433"/>
    <w:rsid w:val="00946050"/>
    <w:rsid w:val="00962666"/>
    <w:rsid w:val="009707BB"/>
    <w:rsid w:val="00971AC7"/>
    <w:rsid w:val="00981965"/>
    <w:rsid w:val="00983069"/>
    <w:rsid w:val="009858A5"/>
    <w:rsid w:val="009863D4"/>
    <w:rsid w:val="009958EA"/>
    <w:rsid w:val="009A4F5B"/>
    <w:rsid w:val="009A6951"/>
    <w:rsid w:val="009B37C5"/>
    <w:rsid w:val="009B3F31"/>
    <w:rsid w:val="009C1132"/>
    <w:rsid w:val="009C4FC1"/>
    <w:rsid w:val="009C5B56"/>
    <w:rsid w:val="009D0DE2"/>
    <w:rsid w:val="009D7C24"/>
    <w:rsid w:val="009E30C7"/>
    <w:rsid w:val="009E4896"/>
    <w:rsid w:val="009E4F21"/>
    <w:rsid w:val="009F177D"/>
    <w:rsid w:val="009F19B2"/>
    <w:rsid w:val="009F1AEF"/>
    <w:rsid w:val="00A042E5"/>
    <w:rsid w:val="00A12CA2"/>
    <w:rsid w:val="00A1325F"/>
    <w:rsid w:val="00A1735E"/>
    <w:rsid w:val="00A24BAE"/>
    <w:rsid w:val="00A309F7"/>
    <w:rsid w:val="00A36AA1"/>
    <w:rsid w:val="00A37202"/>
    <w:rsid w:val="00A43641"/>
    <w:rsid w:val="00A442AD"/>
    <w:rsid w:val="00A468E2"/>
    <w:rsid w:val="00A46EB6"/>
    <w:rsid w:val="00A541A4"/>
    <w:rsid w:val="00A54C53"/>
    <w:rsid w:val="00A55225"/>
    <w:rsid w:val="00A61593"/>
    <w:rsid w:val="00A72B1D"/>
    <w:rsid w:val="00A7349C"/>
    <w:rsid w:val="00A74AF3"/>
    <w:rsid w:val="00A81605"/>
    <w:rsid w:val="00A8166B"/>
    <w:rsid w:val="00A85154"/>
    <w:rsid w:val="00A92AA4"/>
    <w:rsid w:val="00A93BB1"/>
    <w:rsid w:val="00AA278E"/>
    <w:rsid w:val="00AA3F97"/>
    <w:rsid w:val="00AA7DE9"/>
    <w:rsid w:val="00AB0897"/>
    <w:rsid w:val="00AB1461"/>
    <w:rsid w:val="00AC3817"/>
    <w:rsid w:val="00AD0390"/>
    <w:rsid w:val="00AD0DDB"/>
    <w:rsid w:val="00AD2E43"/>
    <w:rsid w:val="00AD2EFB"/>
    <w:rsid w:val="00AD76A4"/>
    <w:rsid w:val="00AD7B55"/>
    <w:rsid w:val="00AF291D"/>
    <w:rsid w:val="00B0062E"/>
    <w:rsid w:val="00B00B46"/>
    <w:rsid w:val="00B04898"/>
    <w:rsid w:val="00B1416A"/>
    <w:rsid w:val="00B20427"/>
    <w:rsid w:val="00B21DF6"/>
    <w:rsid w:val="00B243E3"/>
    <w:rsid w:val="00B250C6"/>
    <w:rsid w:val="00B4074E"/>
    <w:rsid w:val="00B45353"/>
    <w:rsid w:val="00B51FBE"/>
    <w:rsid w:val="00B52A68"/>
    <w:rsid w:val="00B54C11"/>
    <w:rsid w:val="00B56011"/>
    <w:rsid w:val="00B56C8A"/>
    <w:rsid w:val="00B635CA"/>
    <w:rsid w:val="00B64AC3"/>
    <w:rsid w:val="00B6560C"/>
    <w:rsid w:val="00B70509"/>
    <w:rsid w:val="00B73BCD"/>
    <w:rsid w:val="00B819ED"/>
    <w:rsid w:val="00B82CEB"/>
    <w:rsid w:val="00B830C5"/>
    <w:rsid w:val="00B97624"/>
    <w:rsid w:val="00BA34CC"/>
    <w:rsid w:val="00BA5CAD"/>
    <w:rsid w:val="00BB6524"/>
    <w:rsid w:val="00BC1FAB"/>
    <w:rsid w:val="00BE36A1"/>
    <w:rsid w:val="00BE6416"/>
    <w:rsid w:val="00BE7F7A"/>
    <w:rsid w:val="00BF163E"/>
    <w:rsid w:val="00BF22B5"/>
    <w:rsid w:val="00BF2867"/>
    <w:rsid w:val="00BF4D28"/>
    <w:rsid w:val="00C05DBA"/>
    <w:rsid w:val="00C066B2"/>
    <w:rsid w:val="00C1132F"/>
    <w:rsid w:val="00C126E2"/>
    <w:rsid w:val="00C13EEF"/>
    <w:rsid w:val="00C14462"/>
    <w:rsid w:val="00C15CFF"/>
    <w:rsid w:val="00C172EA"/>
    <w:rsid w:val="00C22DEE"/>
    <w:rsid w:val="00C24016"/>
    <w:rsid w:val="00C241E3"/>
    <w:rsid w:val="00C26E00"/>
    <w:rsid w:val="00C34B28"/>
    <w:rsid w:val="00C35CC0"/>
    <w:rsid w:val="00C43CB8"/>
    <w:rsid w:val="00C466D8"/>
    <w:rsid w:val="00C54DB2"/>
    <w:rsid w:val="00C756BD"/>
    <w:rsid w:val="00C80F53"/>
    <w:rsid w:val="00C8426A"/>
    <w:rsid w:val="00C862D6"/>
    <w:rsid w:val="00C879EB"/>
    <w:rsid w:val="00C92C63"/>
    <w:rsid w:val="00C95D84"/>
    <w:rsid w:val="00C97F67"/>
    <w:rsid w:val="00CA4EAF"/>
    <w:rsid w:val="00CA6DDE"/>
    <w:rsid w:val="00CB2BB7"/>
    <w:rsid w:val="00CB2CBB"/>
    <w:rsid w:val="00CC4885"/>
    <w:rsid w:val="00CD025D"/>
    <w:rsid w:val="00CD4E7A"/>
    <w:rsid w:val="00CD4F9C"/>
    <w:rsid w:val="00CE5C95"/>
    <w:rsid w:val="00CF468C"/>
    <w:rsid w:val="00D00DFE"/>
    <w:rsid w:val="00D05695"/>
    <w:rsid w:val="00D05A60"/>
    <w:rsid w:val="00D07C80"/>
    <w:rsid w:val="00D1077D"/>
    <w:rsid w:val="00D12707"/>
    <w:rsid w:val="00D1408D"/>
    <w:rsid w:val="00D17F08"/>
    <w:rsid w:val="00D25DF7"/>
    <w:rsid w:val="00D42458"/>
    <w:rsid w:val="00D44BB2"/>
    <w:rsid w:val="00D46F0F"/>
    <w:rsid w:val="00D5257F"/>
    <w:rsid w:val="00D618CD"/>
    <w:rsid w:val="00D62596"/>
    <w:rsid w:val="00D66965"/>
    <w:rsid w:val="00D7755F"/>
    <w:rsid w:val="00D82C7B"/>
    <w:rsid w:val="00D83D0E"/>
    <w:rsid w:val="00D8508C"/>
    <w:rsid w:val="00D86A54"/>
    <w:rsid w:val="00D92A51"/>
    <w:rsid w:val="00D935C3"/>
    <w:rsid w:val="00D9584E"/>
    <w:rsid w:val="00D9722A"/>
    <w:rsid w:val="00D97B8B"/>
    <w:rsid w:val="00DA1037"/>
    <w:rsid w:val="00DA76DC"/>
    <w:rsid w:val="00DB141E"/>
    <w:rsid w:val="00DB2158"/>
    <w:rsid w:val="00DB3E61"/>
    <w:rsid w:val="00DB62FD"/>
    <w:rsid w:val="00DB7577"/>
    <w:rsid w:val="00DD1D70"/>
    <w:rsid w:val="00DD26AB"/>
    <w:rsid w:val="00DD55B2"/>
    <w:rsid w:val="00DE22E0"/>
    <w:rsid w:val="00DE34D5"/>
    <w:rsid w:val="00DE5CCC"/>
    <w:rsid w:val="00DE7890"/>
    <w:rsid w:val="00DF14F7"/>
    <w:rsid w:val="00DF3B7C"/>
    <w:rsid w:val="00E06A9E"/>
    <w:rsid w:val="00E12013"/>
    <w:rsid w:val="00E12BE2"/>
    <w:rsid w:val="00E179C7"/>
    <w:rsid w:val="00E212A0"/>
    <w:rsid w:val="00E31A4A"/>
    <w:rsid w:val="00E31D77"/>
    <w:rsid w:val="00E43B82"/>
    <w:rsid w:val="00E63F9E"/>
    <w:rsid w:val="00E72A58"/>
    <w:rsid w:val="00E8045D"/>
    <w:rsid w:val="00E8277F"/>
    <w:rsid w:val="00E84857"/>
    <w:rsid w:val="00E84B76"/>
    <w:rsid w:val="00E863C7"/>
    <w:rsid w:val="00E9246D"/>
    <w:rsid w:val="00E94BAA"/>
    <w:rsid w:val="00EA4F39"/>
    <w:rsid w:val="00EB3BCB"/>
    <w:rsid w:val="00EB46A1"/>
    <w:rsid w:val="00EC028A"/>
    <w:rsid w:val="00ED306E"/>
    <w:rsid w:val="00ED3268"/>
    <w:rsid w:val="00ED3349"/>
    <w:rsid w:val="00EE37B1"/>
    <w:rsid w:val="00EE65A0"/>
    <w:rsid w:val="00EF1E9B"/>
    <w:rsid w:val="00EF2205"/>
    <w:rsid w:val="00EF2810"/>
    <w:rsid w:val="00EF7D05"/>
    <w:rsid w:val="00F022C6"/>
    <w:rsid w:val="00F17098"/>
    <w:rsid w:val="00F264E7"/>
    <w:rsid w:val="00F27FC0"/>
    <w:rsid w:val="00F50AEB"/>
    <w:rsid w:val="00F60222"/>
    <w:rsid w:val="00F72BF9"/>
    <w:rsid w:val="00F73644"/>
    <w:rsid w:val="00F75480"/>
    <w:rsid w:val="00F807B9"/>
    <w:rsid w:val="00F861B4"/>
    <w:rsid w:val="00F868EF"/>
    <w:rsid w:val="00FA1201"/>
    <w:rsid w:val="00FA6A1C"/>
    <w:rsid w:val="00FA75EA"/>
    <w:rsid w:val="00FB0DFE"/>
    <w:rsid w:val="00FB2056"/>
    <w:rsid w:val="00FC0587"/>
    <w:rsid w:val="00FC40E5"/>
    <w:rsid w:val="00FC52DA"/>
    <w:rsid w:val="00FC6572"/>
    <w:rsid w:val="00FD7726"/>
    <w:rsid w:val="00FE2676"/>
    <w:rsid w:val="00FF6E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3EA9C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6951"/>
  </w:style>
  <w:style w:type="paragraph" w:styleId="Heading1">
    <w:name w:val="heading 1"/>
    <w:basedOn w:val="Normal"/>
    <w:next w:val="Normal"/>
    <w:link w:val="Heading1Char"/>
    <w:uiPriority w:val="9"/>
    <w:rsid w:val="00EB3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3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B3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BodyText"/>
    <w:link w:val="Heading4Char"/>
    <w:qFormat/>
    <w:rsid w:val="00EB3BCB"/>
    <w:pPr>
      <w:keepLines w:val="0"/>
      <w:spacing w:before="0" w:after="200" w:line="240" w:lineRule="auto"/>
      <w:ind w:left="284"/>
      <w:outlineLvl w:val="3"/>
    </w:pPr>
    <w:rPr>
      <w:rFonts w:ascii="Arial" w:eastAsia="Times New Roman" w:hAnsi="Arial" w:cs="Times New Roman"/>
      <w:b/>
      <w:color w:val="auto"/>
      <w:sz w:val="22"/>
      <w:szCs w:val="20"/>
    </w:rPr>
  </w:style>
  <w:style w:type="paragraph" w:styleId="Heading5">
    <w:name w:val="heading 5"/>
    <w:basedOn w:val="Heading4"/>
    <w:next w:val="BodyText"/>
    <w:link w:val="Heading5Char"/>
    <w:qFormat/>
    <w:rsid w:val="00EB3BCB"/>
    <w:pPr>
      <w:outlineLvl w:val="4"/>
    </w:pPr>
    <w:rPr>
      <w:b w:val="0"/>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Heading1">
    <w:name w:val="Citation - Heading 1"/>
    <w:next w:val="Citation-Bodytext"/>
    <w:rsid w:val="00C756BD"/>
    <w:pPr>
      <w:keepNext/>
      <w:spacing w:after="360" w:line="300" w:lineRule="auto"/>
      <w:outlineLvl w:val="0"/>
    </w:pPr>
    <w:rPr>
      <w:rFonts w:ascii="Arial" w:eastAsia="Times New Roman" w:hAnsi="Arial" w:cs="Times New Roman"/>
      <w:b/>
      <w:bCs/>
      <w:kern w:val="28"/>
      <w:sz w:val="30"/>
      <w:szCs w:val="20"/>
    </w:rPr>
  </w:style>
  <w:style w:type="character" w:customStyle="1" w:styleId="Heading1Char">
    <w:name w:val="Heading 1 Char"/>
    <w:basedOn w:val="DefaultParagraphFont"/>
    <w:link w:val="Heading1"/>
    <w:uiPriority w:val="9"/>
    <w:rsid w:val="00EB3BCB"/>
    <w:rPr>
      <w:rFonts w:asciiTheme="majorHAnsi" w:eastAsiaTheme="majorEastAsia" w:hAnsiTheme="majorHAnsi" w:cstheme="majorBidi"/>
      <w:color w:val="2F5496" w:themeColor="accent1" w:themeShade="BF"/>
      <w:sz w:val="32"/>
      <w:szCs w:val="32"/>
    </w:rPr>
  </w:style>
  <w:style w:type="paragraph" w:customStyle="1" w:styleId="Citation-Heading2">
    <w:name w:val="Citation - Heading 2"/>
    <w:next w:val="Citation-Bodytext"/>
    <w:rsid w:val="00C756BD"/>
    <w:pPr>
      <w:keepNext/>
      <w:spacing w:after="240" w:line="300" w:lineRule="auto"/>
      <w:outlineLvl w:val="1"/>
    </w:pPr>
    <w:rPr>
      <w:rFonts w:ascii="Arial" w:eastAsia="Times New Roman" w:hAnsi="Arial" w:cs="Times New Roman"/>
      <w:b/>
      <w:color w:val="000000"/>
      <w:sz w:val="24"/>
      <w:szCs w:val="20"/>
    </w:rPr>
  </w:style>
  <w:style w:type="character" w:customStyle="1" w:styleId="Heading2Char">
    <w:name w:val="Heading 2 Char"/>
    <w:basedOn w:val="DefaultParagraphFont"/>
    <w:link w:val="Heading2"/>
    <w:uiPriority w:val="9"/>
    <w:semiHidden/>
    <w:rsid w:val="00EB3BCB"/>
    <w:rPr>
      <w:rFonts w:asciiTheme="majorHAnsi" w:eastAsiaTheme="majorEastAsia" w:hAnsiTheme="majorHAnsi" w:cstheme="majorBidi"/>
      <w:color w:val="2F5496" w:themeColor="accent1" w:themeShade="BF"/>
      <w:sz w:val="26"/>
      <w:szCs w:val="26"/>
    </w:rPr>
  </w:style>
  <w:style w:type="paragraph" w:customStyle="1" w:styleId="Citation-Heading3">
    <w:name w:val="Citation - Heading 3"/>
    <w:next w:val="Citation-Bodytext"/>
    <w:rsid w:val="00C756BD"/>
    <w:pPr>
      <w:keepNext/>
      <w:spacing w:before="240" w:after="120" w:line="300" w:lineRule="auto"/>
      <w:outlineLvl w:val="2"/>
    </w:pPr>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EB3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EB3BCB"/>
    <w:rPr>
      <w:rFonts w:ascii="Arial" w:eastAsia="Times New Roman" w:hAnsi="Arial" w:cs="Times New Roman"/>
      <w:b/>
      <w:szCs w:val="20"/>
    </w:rPr>
  </w:style>
  <w:style w:type="character" w:customStyle="1" w:styleId="Heading5Char">
    <w:name w:val="Heading 5 Char"/>
    <w:basedOn w:val="DefaultParagraphFont"/>
    <w:link w:val="Heading5"/>
    <w:rsid w:val="00EB3BCB"/>
    <w:rPr>
      <w:rFonts w:ascii="Arial" w:eastAsia="Times New Roman" w:hAnsi="Arial" w:cs="Times New Roman"/>
      <w:i/>
      <w:sz w:val="21"/>
      <w:szCs w:val="20"/>
    </w:rPr>
  </w:style>
  <w:style w:type="paragraph" w:customStyle="1" w:styleId="Citation-Heading4">
    <w:name w:val="Citation - Heading 4"/>
    <w:rsid w:val="00C756BD"/>
    <w:pPr>
      <w:spacing w:before="120" w:after="120" w:line="300" w:lineRule="auto"/>
      <w:outlineLvl w:val="3"/>
    </w:pPr>
    <w:rPr>
      <w:rFonts w:ascii="Arial" w:eastAsia="Times New Roman" w:hAnsi="Arial" w:cs="Times New Roman"/>
      <w:b/>
      <w:sz w:val="20"/>
      <w:szCs w:val="20"/>
    </w:rPr>
  </w:style>
  <w:style w:type="paragraph" w:styleId="BodyText">
    <w:name w:val="Body Text"/>
    <w:aliases w:val="Body Text Char2 Char,Body Text Char Char Char2,Body Text Char1 Char Char Char2,Body Text Char Char Char Char Char1,Body Text Char1 Char Char Char Char Char2,Body Text Char Char Char Char Char Char Char1,(Alt+1),Body Text Char2 Char1,(Alt+1)1,b"/>
    <w:basedOn w:val="Normal"/>
    <w:link w:val="BodyTextChar"/>
    <w:unhideWhenUsed/>
    <w:qFormat/>
    <w:rsid w:val="00EB3BCB"/>
    <w:pPr>
      <w:spacing w:after="120"/>
    </w:pPr>
  </w:style>
  <w:style w:type="character" w:customStyle="1" w:styleId="BodyTextChar">
    <w:name w:val="Body Text Char"/>
    <w:aliases w:val="Body Text Char2 Char Char,Body Text Char Char Char2 Char,Body Text Char1 Char Char Char2 Char,Body Text Char Char Char Char Char1 Char,Body Text Char1 Char Char Char Char Char2 Char,Body Text Char Char Char Char Char Char Char1 Char"/>
    <w:basedOn w:val="DefaultParagraphFont"/>
    <w:link w:val="BodyText"/>
    <w:rsid w:val="00EB3BCB"/>
  </w:style>
  <w:style w:type="paragraph" w:customStyle="1" w:styleId="Citation-Heading5">
    <w:name w:val="Citation - Heading 5"/>
    <w:next w:val="Citation-Bodytext"/>
    <w:rsid w:val="00C756BD"/>
    <w:pPr>
      <w:spacing w:before="120" w:after="120"/>
      <w:outlineLvl w:val="4"/>
    </w:pPr>
    <w:rPr>
      <w:rFonts w:ascii="Arial" w:eastAsia="Times New Roman" w:hAnsi="Arial" w:cs="Times New Roman"/>
      <w:i/>
      <w:sz w:val="21"/>
      <w:szCs w:val="20"/>
    </w:rPr>
  </w:style>
  <w:style w:type="character" w:styleId="CommentReference">
    <w:name w:val="annotation reference"/>
    <w:basedOn w:val="DefaultParagraphFont"/>
    <w:uiPriority w:val="99"/>
    <w:semiHidden/>
    <w:unhideWhenUsed/>
    <w:rsid w:val="00B4074E"/>
    <w:rPr>
      <w:sz w:val="16"/>
      <w:szCs w:val="16"/>
    </w:rPr>
  </w:style>
  <w:style w:type="paragraph" w:styleId="CommentText">
    <w:name w:val="annotation text"/>
    <w:basedOn w:val="Normal"/>
    <w:link w:val="CommentTextChar"/>
    <w:uiPriority w:val="99"/>
    <w:unhideWhenUsed/>
    <w:rsid w:val="00B4074E"/>
    <w:pPr>
      <w:spacing w:line="240" w:lineRule="auto"/>
    </w:pPr>
    <w:rPr>
      <w:sz w:val="20"/>
      <w:szCs w:val="20"/>
    </w:rPr>
  </w:style>
  <w:style w:type="paragraph" w:customStyle="1" w:styleId="Citation-Tabletext">
    <w:name w:val="Citation - Table text"/>
    <w:qFormat/>
    <w:rsid w:val="00B4074E"/>
    <w:pPr>
      <w:spacing w:after="0" w:line="300" w:lineRule="auto"/>
    </w:pPr>
    <w:rPr>
      <w:rFonts w:ascii="Arial" w:hAnsi="Arial"/>
      <w:sz w:val="20"/>
    </w:rPr>
  </w:style>
  <w:style w:type="character" w:customStyle="1" w:styleId="Citation-Boldcharacterstyle">
    <w:name w:val="Citation - Bold (character style)"/>
    <w:basedOn w:val="DefaultParagraphFont"/>
    <w:uiPriority w:val="1"/>
    <w:qFormat/>
    <w:rsid w:val="0004104D"/>
    <w:rPr>
      <w:b/>
    </w:rPr>
  </w:style>
  <w:style w:type="paragraph" w:customStyle="1" w:styleId="Citation-Image">
    <w:name w:val="Citation - Image"/>
    <w:basedOn w:val="Normal"/>
    <w:qFormat/>
    <w:rsid w:val="0004104D"/>
    <w:pPr>
      <w:spacing w:before="120" w:after="120"/>
    </w:pPr>
  </w:style>
  <w:style w:type="paragraph" w:customStyle="1" w:styleId="Citation-Caption">
    <w:name w:val="Citation - Caption"/>
    <w:basedOn w:val="Normal"/>
    <w:qFormat/>
    <w:rsid w:val="00B4074E"/>
    <w:pPr>
      <w:spacing w:after="120" w:line="264" w:lineRule="auto"/>
      <w:contextualSpacing/>
    </w:pPr>
    <w:rPr>
      <w:rFonts w:ascii="Arial" w:hAnsi="Arial"/>
      <w:sz w:val="18"/>
    </w:rPr>
  </w:style>
  <w:style w:type="paragraph" w:customStyle="1" w:styleId="Citation-Footer">
    <w:name w:val="Citation - Footer"/>
    <w:qFormat/>
    <w:rsid w:val="00B4074E"/>
    <w:pPr>
      <w:spacing w:after="0" w:line="240" w:lineRule="auto"/>
    </w:pPr>
    <w:rPr>
      <w:rFonts w:ascii="Arial" w:hAnsi="Arial"/>
      <w:sz w:val="16"/>
    </w:rPr>
  </w:style>
  <w:style w:type="character" w:customStyle="1" w:styleId="CommentTextChar">
    <w:name w:val="Comment Text Char"/>
    <w:basedOn w:val="DefaultParagraphFont"/>
    <w:link w:val="CommentText"/>
    <w:uiPriority w:val="99"/>
    <w:rsid w:val="00B4074E"/>
    <w:rPr>
      <w:sz w:val="20"/>
      <w:szCs w:val="20"/>
    </w:rPr>
  </w:style>
  <w:style w:type="paragraph" w:styleId="CommentSubject">
    <w:name w:val="annotation subject"/>
    <w:basedOn w:val="CommentText"/>
    <w:next w:val="CommentText"/>
    <w:link w:val="CommentSubjectChar"/>
    <w:uiPriority w:val="99"/>
    <w:semiHidden/>
    <w:unhideWhenUsed/>
    <w:rsid w:val="00B4074E"/>
    <w:rPr>
      <w:b/>
      <w:bCs/>
    </w:rPr>
  </w:style>
  <w:style w:type="character" w:customStyle="1" w:styleId="CommentSubjectChar">
    <w:name w:val="Comment Subject Char"/>
    <w:basedOn w:val="CommentTextChar"/>
    <w:link w:val="CommentSubject"/>
    <w:uiPriority w:val="99"/>
    <w:semiHidden/>
    <w:rsid w:val="00B4074E"/>
    <w:rPr>
      <w:b/>
      <w:bCs/>
      <w:sz w:val="20"/>
      <w:szCs w:val="20"/>
    </w:rPr>
  </w:style>
  <w:style w:type="paragraph" w:customStyle="1" w:styleId="Citation-Bodytext">
    <w:name w:val="Citation - Body text"/>
    <w:qFormat/>
    <w:rsid w:val="00A36AA1"/>
    <w:pPr>
      <w:spacing w:before="120" w:after="180" w:line="300" w:lineRule="auto"/>
    </w:pPr>
    <w:rPr>
      <w:rFonts w:ascii="Arial" w:hAnsi="Arial"/>
      <w:sz w:val="20"/>
    </w:rPr>
  </w:style>
  <w:style w:type="character" w:customStyle="1" w:styleId="Citation-Italicscharacterstyle">
    <w:name w:val="Citation - Italics (character style)"/>
    <w:basedOn w:val="DefaultParagraphFont"/>
    <w:uiPriority w:val="1"/>
    <w:qFormat/>
    <w:rsid w:val="00B4074E"/>
    <w:rPr>
      <w:i/>
    </w:rPr>
  </w:style>
  <w:style w:type="paragraph" w:customStyle="1" w:styleId="Citation-Biographicalentryheading1">
    <w:name w:val="Citation - Biographical entry heading 1"/>
    <w:next w:val="Citation-Bodytext"/>
    <w:qFormat/>
    <w:rsid w:val="00C756BD"/>
    <w:pPr>
      <w:spacing w:before="240" w:after="120" w:line="300" w:lineRule="auto"/>
      <w:outlineLvl w:val="3"/>
    </w:pPr>
    <w:rPr>
      <w:rFonts w:ascii="Arial" w:eastAsia="Times New Roman" w:hAnsi="Arial" w:cs="Times New Roman"/>
      <w:i/>
      <w:sz w:val="21"/>
      <w:szCs w:val="21"/>
    </w:rPr>
  </w:style>
  <w:style w:type="paragraph" w:styleId="Header">
    <w:name w:val="header"/>
    <w:basedOn w:val="Normal"/>
    <w:link w:val="HeaderChar"/>
    <w:uiPriority w:val="99"/>
    <w:unhideWhenUsed/>
    <w:rsid w:val="009E4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96"/>
  </w:style>
  <w:style w:type="paragraph" w:styleId="Footer">
    <w:name w:val="footer"/>
    <w:basedOn w:val="Normal"/>
    <w:link w:val="FooterChar"/>
    <w:uiPriority w:val="99"/>
    <w:unhideWhenUsed/>
    <w:qFormat/>
    <w:rsid w:val="009E4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96"/>
  </w:style>
  <w:style w:type="paragraph" w:customStyle="1" w:styleId="Citation-Themelevel1">
    <w:name w:val="Citation - Theme level 1"/>
    <w:rsid w:val="000075C0"/>
    <w:pPr>
      <w:ind w:left="1134" w:hanging="414"/>
    </w:pPr>
    <w:rPr>
      <w:rFonts w:ascii="Arial" w:hAnsi="Arial"/>
      <w:i/>
      <w:sz w:val="20"/>
    </w:rPr>
  </w:style>
  <w:style w:type="paragraph" w:customStyle="1" w:styleId="Citation-Themelevel2">
    <w:name w:val="Citation - Theme level 2"/>
    <w:rsid w:val="000075C0"/>
    <w:pPr>
      <w:ind w:left="1701" w:hanging="567"/>
    </w:pPr>
    <w:rPr>
      <w:rFonts w:ascii="Arial" w:hAnsi="Arial"/>
      <w:i/>
      <w:sz w:val="20"/>
    </w:rPr>
  </w:style>
  <w:style w:type="paragraph" w:customStyle="1" w:styleId="Citation-Themetext">
    <w:name w:val="Citation - Theme text"/>
    <w:rsid w:val="000075C0"/>
    <w:pPr>
      <w:spacing w:after="180" w:line="300" w:lineRule="auto"/>
      <w:ind w:left="1701"/>
    </w:pPr>
    <w:rPr>
      <w:rFonts w:ascii="Arial" w:hAnsi="Arial"/>
      <w:i/>
      <w:sz w:val="20"/>
    </w:rPr>
  </w:style>
  <w:style w:type="paragraph" w:styleId="ListParagraph">
    <w:name w:val="List Paragraph"/>
    <w:basedOn w:val="Normal"/>
    <w:uiPriority w:val="34"/>
    <w:qFormat/>
    <w:rsid w:val="000075C0"/>
    <w:pPr>
      <w:ind w:left="720"/>
      <w:contextualSpacing/>
    </w:pPr>
  </w:style>
  <w:style w:type="paragraph" w:customStyle="1" w:styleId="Citation-Bullet1">
    <w:name w:val="Citation - Bullet 1"/>
    <w:rsid w:val="00A36AA1"/>
    <w:pPr>
      <w:numPr>
        <w:numId w:val="19"/>
      </w:numPr>
      <w:spacing w:after="120" w:line="300" w:lineRule="auto"/>
      <w:ind w:left="357" w:hanging="357"/>
    </w:pPr>
    <w:rPr>
      <w:rFonts w:ascii="Arial" w:hAnsi="Arial" w:cs="Arial"/>
      <w:sz w:val="20"/>
      <w:szCs w:val="20"/>
    </w:rPr>
  </w:style>
  <w:style w:type="table" w:styleId="TableGrid">
    <w:name w:val="Table Grid"/>
    <w:basedOn w:val="TableNormal"/>
    <w:uiPriority w:val="39"/>
    <w:rsid w:val="00520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20C73"/>
    <w:pPr>
      <w:spacing w:after="200" w:line="240" w:lineRule="auto"/>
    </w:pPr>
    <w:rPr>
      <w:i/>
      <w:iCs/>
      <w:color w:val="44546A" w:themeColor="text2"/>
      <w:sz w:val="18"/>
      <w:szCs w:val="18"/>
    </w:rPr>
  </w:style>
  <w:style w:type="paragraph" w:customStyle="1" w:styleId="Citation-Bullet2">
    <w:name w:val="Citation - Bullet 2"/>
    <w:rsid w:val="00245C90"/>
    <w:pPr>
      <w:numPr>
        <w:numId w:val="21"/>
      </w:numPr>
      <w:spacing w:after="120" w:line="300" w:lineRule="auto"/>
      <w:ind w:left="714" w:hanging="357"/>
    </w:pPr>
    <w:rPr>
      <w:rFonts w:ascii="Arial" w:hAnsi="Arial" w:cs="Arial"/>
      <w:sz w:val="20"/>
      <w:szCs w:val="20"/>
    </w:rPr>
  </w:style>
  <w:style w:type="paragraph" w:customStyle="1" w:styleId="Bullet">
    <w:name w:val="Bullet"/>
    <w:aliases w:val="b1 Char,b1,Bullet1"/>
    <w:basedOn w:val="Normal"/>
    <w:link w:val="BulletChar"/>
    <w:qFormat/>
    <w:rsid w:val="00337370"/>
    <w:pPr>
      <w:numPr>
        <w:numId w:val="22"/>
      </w:numPr>
      <w:tabs>
        <w:tab w:val="left" w:pos="567"/>
      </w:tabs>
      <w:spacing w:line="300" w:lineRule="auto"/>
    </w:pPr>
    <w:rPr>
      <w:rFonts w:ascii="Arial" w:eastAsia="Times New Roman" w:hAnsi="Arial" w:cs="Times New Roman"/>
      <w:color w:val="000000"/>
      <w:sz w:val="20"/>
      <w:szCs w:val="20"/>
    </w:rPr>
  </w:style>
  <w:style w:type="paragraph" w:customStyle="1" w:styleId="Quotes">
    <w:name w:val="Quotes"/>
    <w:basedOn w:val="Normal"/>
    <w:qFormat/>
    <w:rsid w:val="00337370"/>
    <w:pPr>
      <w:tabs>
        <w:tab w:val="left" w:pos="851"/>
      </w:tabs>
      <w:spacing w:before="70" w:line="300" w:lineRule="auto"/>
      <w:ind w:left="425" w:right="425"/>
    </w:pPr>
    <w:rPr>
      <w:rFonts w:ascii="Arial" w:eastAsia="Times New Roman" w:hAnsi="Arial" w:cs="Arial Narrow"/>
      <w:i/>
      <w:color w:val="000000"/>
      <w:sz w:val="18"/>
      <w:szCs w:val="20"/>
    </w:rPr>
  </w:style>
  <w:style w:type="character" w:customStyle="1" w:styleId="BulletChar">
    <w:name w:val="Bullet Char"/>
    <w:link w:val="Bullet"/>
    <w:locked/>
    <w:rsid w:val="00337370"/>
    <w:rPr>
      <w:rFonts w:ascii="Arial" w:eastAsia="Times New Roman" w:hAnsi="Arial" w:cs="Times New Roman"/>
      <w:color w:val="000000"/>
      <w:sz w:val="20"/>
      <w:szCs w:val="20"/>
    </w:rPr>
  </w:style>
  <w:style w:type="paragraph" w:styleId="Revision">
    <w:name w:val="Revision"/>
    <w:hidden/>
    <w:uiPriority w:val="99"/>
    <w:semiHidden/>
    <w:rsid w:val="00AF291D"/>
    <w:pPr>
      <w:spacing w:after="0" w:line="240" w:lineRule="auto"/>
    </w:pPr>
  </w:style>
  <w:style w:type="character" w:styleId="Hyperlink">
    <w:name w:val="Hyperlink"/>
    <w:basedOn w:val="DefaultParagraphFont"/>
    <w:uiPriority w:val="99"/>
    <w:unhideWhenUsed/>
    <w:rsid w:val="002D05D9"/>
    <w:rPr>
      <w:color w:val="0563C1" w:themeColor="hyperlink"/>
      <w:u w:val="single"/>
    </w:rPr>
  </w:style>
  <w:style w:type="character" w:styleId="UnresolvedMention">
    <w:name w:val="Unresolved Mention"/>
    <w:basedOn w:val="DefaultParagraphFont"/>
    <w:uiPriority w:val="99"/>
    <w:semiHidden/>
    <w:unhideWhenUsed/>
    <w:rsid w:val="002D05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994788">
      <w:bodyDiv w:val="1"/>
      <w:marLeft w:val="150"/>
      <w:marRight w:val="0"/>
      <w:marTop w:val="0"/>
      <w:marBottom w:val="0"/>
      <w:divBdr>
        <w:top w:val="none" w:sz="0" w:space="0" w:color="auto"/>
        <w:left w:val="none" w:sz="0" w:space="0" w:color="auto"/>
        <w:bottom w:val="none" w:sz="0" w:space="0" w:color="auto"/>
        <w:right w:val="none" w:sz="0" w:space="0" w:color="auto"/>
      </w:divBdr>
    </w:div>
    <w:div w:id="1780905465">
      <w:bodyDiv w:val="1"/>
      <w:marLeft w:val="15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F842851EFEF4EB0164C47D50A9C06" ma:contentTypeVersion="17" ma:contentTypeDescription="Create a new document." ma:contentTypeScope="" ma:versionID="c0907ce8db935b6e295963607f8303d2">
  <xsd:schema xmlns:xsd="http://www.w3.org/2001/XMLSchema" xmlns:xs="http://www.w3.org/2001/XMLSchema" xmlns:p="http://schemas.microsoft.com/office/2006/metadata/properties" xmlns:ns2="a92b9e72-3b91-4182-a39e-b6a8aab1eb92" xmlns:ns3="fd1a38f0-91ff-4a17-b42a-dbeb8485b56b" targetNamespace="http://schemas.microsoft.com/office/2006/metadata/properties" ma:root="true" ma:fieldsID="b732006e12721e10fb232bb709f1a964" ns2:_="" ns3:_="">
    <xsd:import namespace="a92b9e72-3b91-4182-a39e-b6a8aab1eb92"/>
    <xsd:import namespace="fd1a38f0-91ff-4a17-b42a-dbeb8485b56b"/>
    <xsd:element name="properties">
      <xsd:complexType>
        <xsd:sequence>
          <xsd:element name="documentManagement">
            <xsd:complexType>
              <xsd:all>
                <xsd:element ref="ns2:GML_x005f_x0020_Project_x005f_x0020_ID" minOccurs="0"/>
                <xsd:element ref="ns2:GML_x005f_x0020_Project_x005f_x0020_Name" minOccurs="0"/>
                <xsd:element ref="ns2:GML_x005f_x0020_Customer" minOccurs="0"/>
                <xsd:element ref="ns2:GML_x005f_x0020_Project_x005f_x0020_Suburbs" minOccurs="0"/>
                <xsd:element ref="ns2:GML_x005f_x0020_Start_x005f_x0020_Year" minOccurs="0"/>
                <xsd:element ref="ns2:GML_x005f_x0020_Legacy_x005f_x0020_File_x005f_x0020_Path" minOccurs="0"/>
                <xsd:element ref="ns2:GML_x005f_x0020_Service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b9e72-3b91-4182-a39e-b6a8aab1eb92" elementFormDefault="qualified">
    <xsd:import namespace="http://schemas.microsoft.com/office/2006/documentManagement/types"/>
    <xsd:import namespace="http://schemas.microsoft.com/office/infopath/2007/PartnerControls"/>
    <xsd:element name="GML_x005f_x0020_Project_x005f_x0020_ID" ma:index="8" nillable="true" ma:displayName="GML Project ID" ma:default="2673" ma:internalName="GML_x0020_Project_x0020_ID">
      <xsd:simpleType>
        <xsd:restriction base="dms:Text">
          <xsd:maxLength value="255"/>
        </xsd:restriction>
      </xsd:simpleType>
    </xsd:element>
    <xsd:element name="GML_x005f_x0020_Project_x005f_x0020_Name" ma:index="9" nillable="true" ma:displayName="GML Project Name" ma:default="Nillumbik Heritage Advisory Consultant" ma:internalName="GML_x0020_Project_x0020_Name">
      <xsd:simpleType>
        <xsd:restriction base="dms:Text">
          <xsd:maxLength value="255"/>
        </xsd:restriction>
      </xsd:simpleType>
    </xsd:element>
    <xsd:element name="GML_x005f_x0020_Customer" ma:index="10" nillable="true" ma:displayName="GML Customer" ma:default="Nillumbik Shire Council" ma:internalName="GML_x0020_Customer">
      <xsd:simpleType>
        <xsd:restriction base="dms:Text">
          <xsd:maxLength value="255"/>
        </xsd:restriction>
      </xsd:simpleType>
    </xsd:element>
    <xsd:element name="GML_x005f_x0020_Project_x005f_x0020_Suburbs" ma:index="11" nillable="true" ma:displayName="GML Project Suburbs" ma:default="Greensborough" ma:internalName="GML_x0020_Project_x0020_Suburbs">
      <xsd:simpleType>
        <xsd:restriction base="dms:Text">
          <xsd:maxLength value="255"/>
        </xsd:restriction>
      </xsd:simpleType>
    </xsd:element>
    <xsd:element name="GML_x005f_x0020_Start_x005f_x0020_Year" ma:index="12" nillable="true" ma:displayName="GML Start Year" ma:default="2020" ma:internalName="GML_x0020_Start_x0020_Year">
      <xsd:simpleType>
        <xsd:restriction base="dms:Text">
          <xsd:maxLength value="255"/>
        </xsd:restriction>
      </xsd:simpleType>
    </xsd:element>
    <xsd:element name="GML_x005f_x0020_Legacy_x005f_x0020_File_x005f_x0020_Path" ma:index="13" nillable="true" ma:displayName="GML Legacy File Path" ma:internalName="GML_x0020_Legacy_x0020_File_x0020_Path">
      <xsd:simpleType>
        <xsd:restriction base="dms:Text"/>
      </xsd:simpleType>
    </xsd:element>
    <xsd:element name="GML_x005f_x0020_Services" ma:index="14" nillable="true" ma:displayName="GML Services" ma:default="Heritage Advisor" ma:internalName="GML_x0020_Servic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a38f0-91ff-4a17-b42a-dbeb8485b5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ML_x005f_x0020_Project_x005f_x0020_ID xmlns="a92b9e72-3b91-4182-a39e-b6a8aab1eb92">2673</GML_x005f_x0020_Project_x005f_x0020_ID>
    <GML_x005f_x0020_Start_x005f_x0020_Year xmlns="a92b9e72-3b91-4182-a39e-b6a8aab1eb92">2020</GML_x005f_x0020_Start_x005f_x0020_Year>
    <GML_x005f_x0020_Project_x005f_x0020_Name xmlns="a92b9e72-3b91-4182-a39e-b6a8aab1eb92">Nillumbik Heritage Advisory Consultant</GML_x005f_x0020_Project_x005f_x0020_Name>
    <GML_x005f_x0020_Services xmlns="a92b9e72-3b91-4182-a39e-b6a8aab1eb92">Heritage Advisor</GML_x005f_x0020_Services>
    <GML_x005f_x0020_Legacy_x005f_x0020_File_x005f_x0020_Path xmlns="a92b9e72-3b91-4182-a39e-b6a8aab1eb92" xsi:nil="true"/>
    <GML_x005f_x0020_Customer xmlns="a92b9e72-3b91-4182-a39e-b6a8aab1eb92">Nillumbik Shire Council</GML_x005f_x0020_Customer>
    <GML_x005f_x0020_Project_x005f_x0020_Suburbs xmlns="a92b9e72-3b91-4182-a39e-b6a8aab1eb92">Greensborough</GML_x005f_x0020_Project_x005f_x0020_Suburbs>
  </documentManagement>
</p:properties>
</file>

<file path=customXml/itemProps1.xml><?xml version="1.0" encoding="utf-8"?>
<ds:datastoreItem xmlns:ds="http://schemas.openxmlformats.org/officeDocument/2006/customXml" ds:itemID="{4AFDD1D3-25A9-4A0C-8AFC-341A2D229EFD}"/>
</file>

<file path=customXml/itemProps2.xml><?xml version="1.0" encoding="utf-8"?>
<ds:datastoreItem xmlns:ds="http://schemas.openxmlformats.org/officeDocument/2006/customXml" ds:itemID="{AA667047-198E-49FF-90CF-65385A9206FD}"/>
</file>

<file path=customXml/itemProps3.xml><?xml version="1.0" encoding="utf-8"?>
<ds:datastoreItem xmlns:ds="http://schemas.openxmlformats.org/officeDocument/2006/customXml" ds:itemID="{4B65163E-F927-473E-851F-CB8863E6DD9E}"/>
</file>

<file path=docProps/app.xml><?xml version="1.0" encoding="utf-8"?>
<Properties xmlns="http://schemas.openxmlformats.org/officeDocument/2006/extended-properties" xmlns:vt="http://schemas.openxmlformats.org/officeDocument/2006/docPropsVTypes">
  <Template>Normal.dotm</Template>
  <TotalTime>0</TotalTime>
  <Pages>16</Pages>
  <Words>4504</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2021-10-04T04:46:00Z</dcterms:created>
  <dcterms:modified xsi:type="dcterms:W3CDTF">2021-10-04T04:46:00Z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0x010100EB3F842851EFEF4EB0164C47D50A9C06</vt:lpwstr>
  </property>
</Properties>
</file>