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120B" w:rsidRDefault="0026120B" w:rsidP="0026120B">
      <w:pPr>
        <w:pStyle w:val="Default"/>
        <w:rPr>
          <w:sz w:val="22"/>
          <w:szCs w:val="22"/>
        </w:rPr>
      </w:pPr>
      <w:r>
        <w:rPr>
          <w:b/>
          <w:bCs/>
          <w:sz w:val="22"/>
          <w:szCs w:val="22"/>
        </w:rPr>
        <w:t>STATEMENT OF SIGNIFICANCE FOR ALAN MARSHALL BUNGALOW</w:t>
      </w:r>
    </w:p>
    <w:p w:rsidR="0026120B" w:rsidRDefault="0026120B" w:rsidP="0026120B">
      <w:pPr>
        <w:pStyle w:val="Default"/>
        <w:rPr>
          <w:b/>
          <w:bCs/>
          <w:sz w:val="20"/>
          <w:szCs w:val="20"/>
        </w:rPr>
      </w:pPr>
    </w:p>
    <w:p w:rsidR="0026120B" w:rsidRDefault="0026120B" w:rsidP="0026120B">
      <w:pPr>
        <w:pStyle w:val="Default"/>
        <w:rPr>
          <w:sz w:val="20"/>
          <w:szCs w:val="20"/>
        </w:rPr>
      </w:pPr>
      <w:r>
        <w:rPr>
          <w:b/>
          <w:bCs/>
          <w:sz w:val="20"/>
          <w:szCs w:val="20"/>
        </w:rPr>
        <w:t xml:space="preserve">WHAT IS SIGNIFICANT </w:t>
      </w:r>
    </w:p>
    <w:p w:rsidR="0026120B" w:rsidRDefault="0026120B" w:rsidP="0026120B">
      <w:pPr>
        <w:pStyle w:val="Default"/>
        <w:rPr>
          <w:sz w:val="20"/>
          <w:szCs w:val="20"/>
        </w:rPr>
      </w:pPr>
    </w:p>
    <w:p w:rsidR="0026120B" w:rsidRDefault="0026120B" w:rsidP="0026120B">
      <w:pPr>
        <w:pStyle w:val="Default"/>
        <w:rPr>
          <w:sz w:val="20"/>
          <w:szCs w:val="20"/>
        </w:rPr>
      </w:pPr>
      <w:r>
        <w:rPr>
          <w:sz w:val="20"/>
          <w:szCs w:val="20"/>
        </w:rPr>
        <w:t>‘</w:t>
      </w:r>
      <w:proofErr w:type="spellStart"/>
      <w:r>
        <w:rPr>
          <w:sz w:val="20"/>
          <w:szCs w:val="20"/>
        </w:rPr>
        <w:t>Gurawalla</w:t>
      </w:r>
      <w:proofErr w:type="spellEnd"/>
      <w:r>
        <w:rPr>
          <w:sz w:val="20"/>
          <w:szCs w:val="20"/>
        </w:rPr>
        <w:t xml:space="preserve">’ Alan Marshall Bungalow at 13 Park West Road, Eltham, built in 1955, and the home and workplace of prominent Australian writer and storyteller Alan Marshall from 1955 to 1972, is significant. </w:t>
      </w:r>
    </w:p>
    <w:p w:rsidR="0026120B" w:rsidRDefault="0026120B" w:rsidP="0026120B">
      <w:pPr>
        <w:pStyle w:val="Default"/>
        <w:rPr>
          <w:sz w:val="20"/>
          <w:szCs w:val="20"/>
        </w:rPr>
      </w:pPr>
    </w:p>
    <w:p w:rsidR="0026120B" w:rsidRDefault="0026120B" w:rsidP="00AA0756">
      <w:pPr>
        <w:pStyle w:val="Default"/>
        <w:spacing w:after="240"/>
        <w:rPr>
          <w:sz w:val="20"/>
          <w:szCs w:val="20"/>
        </w:rPr>
      </w:pPr>
      <w:r>
        <w:rPr>
          <w:sz w:val="20"/>
          <w:szCs w:val="20"/>
        </w:rPr>
        <w:t xml:space="preserve">Significant fabric includes the: </w:t>
      </w:r>
      <w:bookmarkStart w:id="0" w:name="_GoBack"/>
      <w:bookmarkEnd w:id="0"/>
    </w:p>
    <w:p w:rsidR="0026120B" w:rsidRDefault="0026120B" w:rsidP="0026120B">
      <w:pPr>
        <w:pStyle w:val="Default"/>
        <w:numPr>
          <w:ilvl w:val="0"/>
          <w:numId w:val="3"/>
        </w:numPr>
        <w:spacing w:after="229"/>
        <w:rPr>
          <w:sz w:val="20"/>
          <w:szCs w:val="20"/>
        </w:rPr>
      </w:pPr>
      <w:r>
        <w:rPr>
          <w:sz w:val="20"/>
          <w:szCs w:val="20"/>
        </w:rPr>
        <w:t xml:space="preserve">The area surrounding the bungalow to a distance of five (5) metres from the north, east and south of the bungalow and to the western property boundary. And, a strip of land the width of the bungalow to Park West Road to retain the setting and context of the significant place. (Refer Figure1); </w:t>
      </w:r>
    </w:p>
    <w:p w:rsidR="0026120B" w:rsidRDefault="0026120B" w:rsidP="0026120B">
      <w:pPr>
        <w:pStyle w:val="Default"/>
        <w:numPr>
          <w:ilvl w:val="0"/>
          <w:numId w:val="3"/>
        </w:numPr>
        <w:spacing w:after="229"/>
        <w:rPr>
          <w:sz w:val="20"/>
          <w:szCs w:val="20"/>
        </w:rPr>
      </w:pPr>
      <w:r>
        <w:rPr>
          <w:sz w:val="20"/>
          <w:szCs w:val="20"/>
        </w:rPr>
        <w:t xml:space="preserve">The bungalows original built form, roof form (including gable and skillion roof sections) and original windows (louvered and fixed) and doors; </w:t>
      </w:r>
    </w:p>
    <w:p w:rsidR="0026120B" w:rsidRPr="0026120B" w:rsidRDefault="0026120B" w:rsidP="0026120B">
      <w:pPr>
        <w:pStyle w:val="Default"/>
        <w:numPr>
          <w:ilvl w:val="0"/>
          <w:numId w:val="3"/>
        </w:numPr>
        <w:spacing w:after="229"/>
        <w:rPr>
          <w:sz w:val="20"/>
          <w:szCs w:val="20"/>
        </w:rPr>
      </w:pPr>
      <w:r w:rsidRPr="0026120B">
        <w:rPr>
          <w:sz w:val="20"/>
          <w:szCs w:val="20"/>
        </w:rPr>
        <w:t xml:space="preserve">Unlined eaves and exposed rafters; </w:t>
      </w:r>
    </w:p>
    <w:p w:rsidR="0026120B" w:rsidRDefault="0026120B" w:rsidP="0026120B">
      <w:pPr>
        <w:pStyle w:val="Default"/>
        <w:numPr>
          <w:ilvl w:val="0"/>
          <w:numId w:val="3"/>
        </w:numPr>
        <w:spacing w:after="229"/>
        <w:rPr>
          <w:sz w:val="20"/>
          <w:szCs w:val="20"/>
        </w:rPr>
      </w:pPr>
      <w:r>
        <w:rPr>
          <w:sz w:val="20"/>
          <w:szCs w:val="20"/>
        </w:rPr>
        <w:t xml:space="preserve">Mud brick wall and timber stud frame; </w:t>
      </w:r>
    </w:p>
    <w:p w:rsidR="0026120B" w:rsidRDefault="0026120B" w:rsidP="0026120B">
      <w:pPr>
        <w:pStyle w:val="Default"/>
        <w:numPr>
          <w:ilvl w:val="0"/>
          <w:numId w:val="3"/>
        </w:numPr>
        <w:spacing w:after="229"/>
        <w:rPr>
          <w:sz w:val="20"/>
          <w:szCs w:val="20"/>
        </w:rPr>
      </w:pPr>
      <w:r>
        <w:rPr>
          <w:sz w:val="20"/>
          <w:szCs w:val="20"/>
        </w:rPr>
        <w:t xml:space="preserve">Strapped sheet wall cladding, corrugated iron roof sheets; </w:t>
      </w:r>
    </w:p>
    <w:p w:rsidR="0026120B" w:rsidRDefault="0026120B" w:rsidP="0026120B">
      <w:pPr>
        <w:pStyle w:val="Default"/>
        <w:numPr>
          <w:ilvl w:val="0"/>
          <w:numId w:val="3"/>
        </w:numPr>
        <w:spacing w:after="229"/>
        <w:rPr>
          <w:sz w:val="20"/>
          <w:szCs w:val="20"/>
        </w:rPr>
      </w:pPr>
      <w:r>
        <w:rPr>
          <w:sz w:val="20"/>
          <w:szCs w:val="20"/>
        </w:rPr>
        <w:t xml:space="preserve">Internal brick and timber floors; </w:t>
      </w:r>
    </w:p>
    <w:p w:rsidR="0026120B" w:rsidRPr="0026120B" w:rsidRDefault="0026120B" w:rsidP="0026120B">
      <w:pPr>
        <w:pStyle w:val="Default"/>
        <w:numPr>
          <w:ilvl w:val="0"/>
          <w:numId w:val="3"/>
        </w:numPr>
        <w:spacing w:after="229"/>
        <w:rPr>
          <w:sz w:val="20"/>
          <w:szCs w:val="20"/>
        </w:rPr>
      </w:pPr>
      <w:r w:rsidRPr="0026120B">
        <w:rPr>
          <w:sz w:val="20"/>
          <w:szCs w:val="20"/>
        </w:rPr>
        <w:t xml:space="preserve">Internal stud walls; </w:t>
      </w:r>
    </w:p>
    <w:p w:rsidR="0026120B" w:rsidRDefault="0026120B" w:rsidP="0026120B">
      <w:pPr>
        <w:pStyle w:val="Default"/>
        <w:numPr>
          <w:ilvl w:val="0"/>
          <w:numId w:val="3"/>
        </w:numPr>
        <w:rPr>
          <w:sz w:val="20"/>
          <w:szCs w:val="20"/>
        </w:rPr>
      </w:pPr>
      <w:r>
        <w:rPr>
          <w:sz w:val="20"/>
          <w:szCs w:val="20"/>
        </w:rPr>
        <w:t xml:space="preserve">Extant plumbing including fittings and fixtures. </w:t>
      </w:r>
    </w:p>
    <w:p w:rsidR="0026120B" w:rsidRDefault="0026120B" w:rsidP="0026120B">
      <w:pPr>
        <w:pStyle w:val="Default"/>
        <w:rPr>
          <w:sz w:val="20"/>
          <w:szCs w:val="20"/>
        </w:rPr>
      </w:pPr>
    </w:p>
    <w:p w:rsidR="0026120B" w:rsidRDefault="0026120B" w:rsidP="0026120B">
      <w:pPr>
        <w:pStyle w:val="Default"/>
        <w:rPr>
          <w:sz w:val="20"/>
          <w:szCs w:val="20"/>
        </w:rPr>
      </w:pPr>
      <w:r>
        <w:rPr>
          <w:b/>
          <w:bCs/>
          <w:sz w:val="20"/>
          <w:szCs w:val="20"/>
        </w:rPr>
        <w:t xml:space="preserve">HOW IT IS SIGNIFICANT </w:t>
      </w:r>
    </w:p>
    <w:p w:rsidR="0026120B" w:rsidRDefault="0026120B" w:rsidP="0026120B">
      <w:pPr>
        <w:pStyle w:val="Default"/>
        <w:rPr>
          <w:sz w:val="20"/>
          <w:szCs w:val="20"/>
        </w:rPr>
      </w:pPr>
    </w:p>
    <w:p w:rsidR="0026120B" w:rsidRDefault="0026120B" w:rsidP="0026120B">
      <w:pPr>
        <w:pStyle w:val="Default"/>
        <w:rPr>
          <w:sz w:val="20"/>
          <w:szCs w:val="20"/>
        </w:rPr>
      </w:pPr>
      <w:r>
        <w:rPr>
          <w:sz w:val="20"/>
          <w:szCs w:val="20"/>
        </w:rPr>
        <w:t>‘</w:t>
      </w:r>
      <w:proofErr w:type="spellStart"/>
      <w:r>
        <w:rPr>
          <w:sz w:val="20"/>
          <w:szCs w:val="20"/>
        </w:rPr>
        <w:t>Gurawalla</w:t>
      </w:r>
      <w:proofErr w:type="spellEnd"/>
      <w:r>
        <w:rPr>
          <w:sz w:val="20"/>
          <w:szCs w:val="20"/>
        </w:rPr>
        <w:t xml:space="preserve">’ Alan Marshall Bungalow at 13 Park West Road, Eltham is of local historical (associative) significance to the Shire of Nillumbik. </w:t>
      </w:r>
    </w:p>
    <w:p w:rsidR="0026120B" w:rsidRDefault="0026120B" w:rsidP="0026120B">
      <w:pPr>
        <w:pStyle w:val="Default"/>
        <w:rPr>
          <w:b/>
          <w:bCs/>
          <w:sz w:val="20"/>
          <w:szCs w:val="20"/>
        </w:rPr>
      </w:pPr>
    </w:p>
    <w:p w:rsidR="0026120B" w:rsidRDefault="0026120B" w:rsidP="0026120B">
      <w:pPr>
        <w:pStyle w:val="Default"/>
        <w:rPr>
          <w:sz w:val="20"/>
          <w:szCs w:val="20"/>
        </w:rPr>
      </w:pPr>
      <w:r>
        <w:rPr>
          <w:b/>
          <w:bCs/>
          <w:sz w:val="20"/>
          <w:szCs w:val="20"/>
        </w:rPr>
        <w:t xml:space="preserve">WHY IT IS SIGNIFICANT </w:t>
      </w:r>
    </w:p>
    <w:p w:rsidR="0026120B" w:rsidRDefault="0026120B" w:rsidP="0026120B">
      <w:pPr>
        <w:pStyle w:val="Default"/>
        <w:rPr>
          <w:sz w:val="20"/>
          <w:szCs w:val="20"/>
        </w:rPr>
      </w:pPr>
    </w:p>
    <w:p w:rsidR="0026120B" w:rsidRDefault="0026120B" w:rsidP="0026120B">
      <w:pPr>
        <w:pStyle w:val="Default"/>
        <w:spacing w:after="240"/>
        <w:rPr>
          <w:sz w:val="20"/>
          <w:szCs w:val="20"/>
        </w:rPr>
      </w:pPr>
      <w:r>
        <w:rPr>
          <w:sz w:val="20"/>
          <w:szCs w:val="20"/>
        </w:rPr>
        <w:t>‘</w:t>
      </w:r>
      <w:proofErr w:type="spellStart"/>
      <w:r>
        <w:rPr>
          <w:sz w:val="20"/>
          <w:szCs w:val="20"/>
        </w:rPr>
        <w:t>Gurawalla</w:t>
      </w:r>
      <w:proofErr w:type="spellEnd"/>
      <w:r>
        <w:rPr>
          <w:sz w:val="20"/>
          <w:szCs w:val="20"/>
        </w:rPr>
        <w:t xml:space="preserve">’ Alan Marshall Bungalow at 13 Park Road West, Eltham, is significant to the Shire of Nillumbik as the home and workplace of Alan Marshall (1902-1984), who lived and worked there from 1955 until 1972. </w:t>
      </w:r>
    </w:p>
    <w:p w:rsidR="0026120B" w:rsidRDefault="0026120B" w:rsidP="0026120B">
      <w:pPr>
        <w:pStyle w:val="Default"/>
        <w:spacing w:after="240"/>
        <w:rPr>
          <w:sz w:val="20"/>
          <w:szCs w:val="20"/>
        </w:rPr>
      </w:pPr>
      <w:r>
        <w:rPr>
          <w:sz w:val="20"/>
          <w:szCs w:val="20"/>
        </w:rPr>
        <w:t xml:space="preserve">Marshall was a prominent Australian writer, story teller, humanist and social documenter who was an important public figure in Australia during the 1940s to1970s. </w:t>
      </w:r>
    </w:p>
    <w:p w:rsidR="0026120B" w:rsidRDefault="0026120B" w:rsidP="0026120B">
      <w:pPr>
        <w:pStyle w:val="Default"/>
        <w:spacing w:after="240"/>
        <w:rPr>
          <w:sz w:val="20"/>
          <w:szCs w:val="20"/>
        </w:rPr>
      </w:pPr>
      <w:r>
        <w:rPr>
          <w:sz w:val="20"/>
          <w:szCs w:val="20"/>
        </w:rPr>
        <w:t xml:space="preserve">While living and working at the bungalow several of Marshall’s important publications were written within its walls. These include his trilogy of fictionalised autobiographies, </w:t>
      </w:r>
      <w:r>
        <w:rPr>
          <w:i/>
          <w:iCs/>
          <w:sz w:val="20"/>
          <w:szCs w:val="20"/>
        </w:rPr>
        <w:t xml:space="preserve">I Can Jump Puddles </w:t>
      </w:r>
      <w:r>
        <w:rPr>
          <w:sz w:val="20"/>
          <w:szCs w:val="20"/>
        </w:rPr>
        <w:t xml:space="preserve">(1955), </w:t>
      </w:r>
      <w:r>
        <w:rPr>
          <w:i/>
          <w:iCs/>
          <w:sz w:val="20"/>
          <w:szCs w:val="20"/>
        </w:rPr>
        <w:t xml:space="preserve">This is the grass </w:t>
      </w:r>
      <w:r>
        <w:rPr>
          <w:sz w:val="20"/>
          <w:szCs w:val="20"/>
        </w:rPr>
        <w:t xml:space="preserve">(1962) and </w:t>
      </w:r>
      <w:r>
        <w:rPr>
          <w:i/>
          <w:iCs/>
          <w:sz w:val="20"/>
          <w:szCs w:val="20"/>
        </w:rPr>
        <w:t xml:space="preserve">In Mine Own Heart </w:t>
      </w:r>
      <w:r>
        <w:rPr>
          <w:sz w:val="20"/>
          <w:szCs w:val="20"/>
        </w:rPr>
        <w:t xml:space="preserve">(1963) and several collections of highly popular short stories and humorous sketches as well as </w:t>
      </w:r>
      <w:r>
        <w:rPr>
          <w:i/>
          <w:iCs/>
          <w:sz w:val="20"/>
          <w:szCs w:val="20"/>
        </w:rPr>
        <w:t xml:space="preserve">The Gay Provider </w:t>
      </w:r>
      <w:r>
        <w:rPr>
          <w:sz w:val="20"/>
          <w:szCs w:val="20"/>
        </w:rPr>
        <w:t>(1962), a commissioned history of the Myer Emporium.</w:t>
      </w:r>
    </w:p>
    <w:p w:rsidR="0026120B" w:rsidRDefault="0026120B" w:rsidP="0026120B">
      <w:pPr>
        <w:pStyle w:val="Default"/>
        <w:spacing w:after="240"/>
        <w:rPr>
          <w:sz w:val="20"/>
          <w:szCs w:val="20"/>
        </w:rPr>
      </w:pPr>
      <w:r>
        <w:rPr>
          <w:sz w:val="20"/>
          <w:szCs w:val="20"/>
        </w:rPr>
        <w:t xml:space="preserve">He also penned his history of Eltham titled </w:t>
      </w:r>
      <w:r>
        <w:rPr>
          <w:i/>
          <w:iCs/>
          <w:sz w:val="20"/>
          <w:szCs w:val="20"/>
        </w:rPr>
        <w:t xml:space="preserve">Pioneers &amp; Painters: One hundred years of Eltham and its Shire </w:t>
      </w:r>
      <w:r>
        <w:rPr>
          <w:sz w:val="20"/>
          <w:szCs w:val="20"/>
        </w:rPr>
        <w:t xml:space="preserve">from the bungalow in 1971, a tribute to the local area for which he was a keen defender of its natural and cultural heritage. Marshall also continued to write his hugely popular weekly advice column ‘Alan Marshall’s Casebook’ from the bungalow for the </w:t>
      </w:r>
      <w:r>
        <w:rPr>
          <w:i/>
          <w:iCs/>
          <w:sz w:val="20"/>
          <w:szCs w:val="20"/>
        </w:rPr>
        <w:t xml:space="preserve">Argus </w:t>
      </w:r>
      <w:r>
        <w:rPr>
          <w:sz w:val="20"/>
          <w:szCs w:val="20"/>
        </w:rPr>
        <w:t xml:space="preserve">until the paper’s closure in 1957. </w:t>
      </w:r>
    </w:p>
    <w:p w:rsidR="0026120B" w:rsidRDefault="0026120B" w:rsidP="0026120B">
      <w:pPr>
        <w:pStyle w:val="Default"/>
        <w:rPr>
          <w:color w:val="auto"/>
          <w:sz w:val="20"/>
          <w:szCs w:val="20"/>
        </w:rPr>
      </w:pPr>
      <w:r>
        <w:rPr>
          <w:sz w:val="20"/>
          <w:szCs w:val="20"/>
        </w:rPr>
        <w:t xml:space="preserve">During Marshall’s occupancy, the bungalow became a hub of literary and cultural life in Eltham. Attracting visitors from all over the world they came to the Park West Road bungalow to sit and chat and to listen to Marshall read his stories. Among the visitors were famous Australian authors Judah Waten, John </w:t>
      </w:r>
      <w:r>
        <w:rPr>
          <w:color w:val="auto"/>
          <w:sz w:val="20"/>
          <w:szCs w:val="20"/>
        </w:rPr>
        <w:t xml:space="preserve">Morrison, Bill Wannon, Clem Christenson, and Xavier Herbert to name a few. The bungalow is also significant for the contribution it makes to the ongoing understanding of the history of </w:t>
      </w:r>
      <w:r>
        <w:rPr>
          <w:color w:val="auto"/>
          <w:sz w:val="20"/>
          <w:szCs w:val="20"/>
        </w:rPr>
        <w:lastRenderedPageBreak/>
        <w:t xml:space="preserve">the Shire of Nillumbik and particularly Eltham as a centre for artists, writers, and intellectuals. (Criterion H) </w:t>
      </w:r>
    </w:p>
    <w:p w:rsidR="0026120B" w:rsidRDefault="0026120B" w:rsidP="0026120B">
      <w:pPr>
        <w:pStyle w:val="Default"/>
        <w:rPr>
          <w:color w:val="auto"/>
          <w:sz w:val="20"/>
          <w:szCs w:val="20"/>
        </w:rPr>
      </w:pPr>
    </w:p>
    <w:p w:rsidR="0026120B" w:rsidRDefault="0026120B" w:rsidP="0026120B">
      <w:pPr>
        <w:pStyle w:val="Default"/>
        <w:rPr>
          <w:b/>
          <w:bCs/>
          <w:color w:val="auto"/>
          <w:sz w:val="22"/>
          <w:szCs w:val="22"/>
        </w:rPr>
      </w:pPr>
      <w:r>
        <w:rPr>
          <w:b/>
          <w:bCs/>
          <w:color w:val="auto"/>
          <w:sz w:val="22"/>
          <w:szCs w:val="22"/>
        </w:rPr>
        <w:t xml:space="preserve">RECOMMENDATIONS </w:t>
      </w:r>
    </w:p>
    <w:p w:rsidR="0026120B" w:rsidRDefault="0026120B" w:rsidP="0026120B">
      <w:pPr>
        <w:pStyle w:val="Default"/>
        <w:rPr>
          <w:color w:val="auto"/>
          <w:sz w:val="22"/>
          <w:szCs w:val="22"/>
        </w:rPr>
      </w:pPr>
    </w:p>
    <w:p w:rsidR="0026120B" w:rsidRDefault="0026120B" w:rsidP="0026120B">
      <w:pPr>
        <w:pStyle w:val="Default"/>
        <w:rPr>
          <w:color w:val="auto"/>
          <w:sz w:val="20"/>
          <w:szCs w:val="20"/>
        </w:rPr>
      </w:pPr>
      <w:r>
        <w:rPr>
          <w:color w:val="auto"/>
          <w:sz w:val="20"/>
          <w:szCs w:val="20"/>
        </w:rPr>
        <w:t>Recommended for inclusion in the Schedule to the Heritage Overlay of the Nillumbik Planning Scheme as an individually significant place.</w:t>
      </w:r>
    </w:p>
    <w:p w:rsidR="0026120B" w:rsidRDefault="0026120B" w:rsidP="0026120B">
      <w:pPr>
        <w:pStyle w:val="Default"/>
        <w:rPr>
          <w:color w:val="auto"/>
          <w:sz w:val="20"/>
          <w:szCs w:val="20"/>
        </w:rPr>
      </w:pPr>
      <w:r>
        <w:rPr>
          <w:color w:val="auto"/>
          <w:sz w:val="20"/>
          <w:szCs w:val="20"/>
        </w:rPr>
        <w:t xml:space="preserve"> </w:t>
      </w:r>
    </w:p>
    <w:p w:rsidR="0026120B" w:rsidRDefault="0026120B" w:rsidP="0026120B">
      <w:pPr>
        <w:pStyle w:val="Default"/>
        <w:rPr>
          <w:color w:val="auto"/>
          <w:sz w:val="20"/>
          <w:szCs w:val="20"/>
        </w:rPr>
      </w:pPr>
      <w:r>
        <w:rPr>
          <w:color w:val="auto"/>
          <w:sz w:val="20"/>
          <w:szCs w:val="20"/>
        </w:rPr>
        <w:t xml:space="preserve">Recommendations for the Schedule to the Heritage Overlay (Clause 43.01) in the Nillumbik Planning Scheme: </w:t>
      </w:r>
    </w:p>
    <w:p w:rsidR="0026120B" w:rsidRDefault="0026120B" w:rsidP="0026120B">
      <w:pPr>
        <w:pStyle w:val="Default"/>
        <w:rPr>
          <w:color w:val="auto"/>
          <w:sz w:val="20"/>
          <w:szCs w:val="20"/>
        </w:rPr>
      </w:pPr>
    </w:p>
    <w:p w:rsidR="0026120B" w:rsidRDefault="0026120B" w:rsidP="0026120B">
      <w:pPr>
        <w:pStyle w:val="Default"/>
        <w:spacing w:after="240"/>
        <w:rPr>
          <w:color w:val="auto"/>
          <w:sz w:val="20"/>
          <w:szCs w:val="20"/>
        </w:rPr>
      </w:pPr>
      <w:r>
        <w:rPr>
          <w:b/>
          <w:bCs/>
          <w:color w:val="auto"/>
          <w:sz w:val="20"/>
          <w:szCs w:val="20"/>
        </w:rPr>
        <w:t>NILLUMBIK PLANNING SCHEME</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3154"/>
        <w:gridCol w:w="3154"/>
      </w:tblGrid>
      <w:tr w:rsidR="0026120B" w:rsidTr="0026120B">
        <w:trPr>
          <w:trHeight w:val="89"/>
        </w:trPr>
        <w:tc>
          <w:tcPr>
            <w:tcW w:w="3154" w:type="dxa"/>
            <w:tcBorders>
              <w:bottom w:val="single" w:sz="4" w:space="0" w:color="auto"/>
            </w:tcBorders>
          </w:tcPr>
          <w:p w:rsidR="0026120B" w:rsidRDefault="0026120B">
            <w:pPr>
              <w:pStyle w:val="Default"/>
              <w:rPr>
                <w:b/>
                <w:bCs/>
                <w:color w:val="auto"/>
                <w:sz w:val="20"/>
                <w:szCs w:val="20"/>
              </w:rPr>
            </w:pPr>
          </w:p>
          <w:p w:rsidR="0026120B" w:rsidRDefault="0026120B">
            <w:pPr>
              <w:pStyle w:val="Default"/>
              <w:rPr>
                <w:sz w:val="18"/>
                <w:szCs w:val="18"/>
              </w:rPr>
            </w:pPr>
            <w:r>
              <w:rPr>
                <w:sz w:val="18"/>
                <w:szCs w:val="18"/>
              </w:rPr>
              <w:t xml:space="preserve">EXTERNAL PAINT CONTROLS </w:t>
            </w:r>
          </w:p>
        </w:tc>
        <w:tc>
          <w:tcPr>
            <w:tcW w:w="3154" w:type="dxa"/>
            <w:tcBorders>
              <w:bottom w:val="single" w:sz="4" w:space="0" w:color="auto"/>
            </w:tcBorders>
          </w:tcPr>
          <w:p w:rsidR="0026120B" w:rsidRDefault="0026120B">
            <w:pPr>
              <w:pStyle w:val="Default"/>
              <w:rPr>
                <w:sz w:val="18"/>
                <w:szCs w:val="18"/>
              </w:rPr>
            </w:pPr>
            <w:r>
              <w:rPr>
                <w:sz w:val="18"/>
                <w:szCs w:val="18"/>
              </w:rPr>
              <w:t xml:space="preserve">No </w:t>
            </w:r>
          </w:p>
        </w:tc>
      </w:tr>
      <w:tr w:rsidR="0026120B" w:rsidTr="0026120B">
        <w:trPr>
          <w:trHeight w:val="89"/>
        </w:trPr>
        <w:tc>
          <w:tcPr>
            <w:tcW w:w="3154" w:type="dxa"/>
            <w:tcBorders>
              <w:top w:val="single" w:sz="4" w:space="0" w:color="auto"/>
              <w:bottom w:val="single" w:sz="4" w:space="0" w:color="auto"/>
            </w:tcBorders>
          </w:tcPr>
          <w:p w:rsidR="0026120B" w:rsidRDefault="0026120B">
            <w:pPr>
              <w:pStyle w:val="Default"/>
              <w:rPr>
                <w:sz w:val="18"/>
                <w:szCs w:val="18"/>
              </w:rPr>
            </w:pPr>
            <w:r>
              <w:rPr>
                <w:sz w:val="18"/>
                <w:szCs w:val="18"/>
              </w:rPr>
              <w:t xml:space="preserve">INTERNAL ALTERATION CONTROLS </w:t>
            </w:r>
          </w:p>
        </w:tc>
        <w:tc>
          <w:tcPr>
            <w:tcW w:w="3154" w:type="dxa"/>
            <w:tcBorders>
              <w:top w:val="single" w:sz="4" w:space="0" w:color="auto"/>
              <w:bottom w:val="single" w:sz="4" w:space="0" w:color="auto"/>
            </w:tcBorders>
          </w:tcPr>
          <w:p w:rsidR="0026120B" w:rsidRDefault="0026120B">
            <w:pPr>
              <w:pStyle w:val="Default"/>
              <w:rPr>
                <w:sz w:val="18"/>
                <w:szCs w:val="18"/>
              </w:rPr>
            </w:pPr>
            <w:r>
              <w:rPr>
                <w:sz w:val="18"/>
                <w:szCs w:val="18"/>
              </w:rPr>
              <w:t xml:space="preserve">Yes </w:t>
            </w:r>
          </w:p>
        </w:tc>
      </w:tr>
      <w:tr w:rsidR="0026120B" w:rsidTr="0026120B">
        <w:trPr>
          <w:trHeight w:val="89"/>
        </w:trPr>
        <w:tc>
          <w:tcPr>
            <w:tcW w:w="3154" w:type="dxa"/>
            <w:tcBorders>
              <w:top w:val="single" w:sz="4" w:space="0" w:color="auto"/>
              <w:bottom w:val="single" w:sz="4" w:space="0" w:color="auto"/>
            </w:tcBorders>
          </w:tcPr>
          <w:p w:rsidR="0026120B" w:rsidRDefault="0026120B">
            <w:pPr>
              <w:pStyle w:val="Default"/>
              <w:rPr>
                <w:sz w:val="18"/>
                <w:szCs w:val="18"/>
              </w:rPr>
            </w:pPr>
            <w:r>
              <w:rPr>
                <w:sz w:val="18"/>
                <w:szCs w:val="18"/>
              </w:rPr>
              <w:t xml:space="preserve">TREE CONTROLS </w:t>
            </w:r>
          </w:p>
        </w:tc>
        <w:tc>
          <w:tcPr>
            <w:tcW w:w="3154" w:type="dxa"/>
            <w:tcBorders>
              <w:top w:val="single" w:sz="4" w:space="0" w:color="auto"/>
              <w:bottom w:val="single" w:sz="4" w:space="0" w:color="auto"/>
            </w:tcBorders>
          </w:tcPr>
          <w:p w:rsidR="0026120B" w:rsidRDefault="0026120B">
            <w:pPr>
              <w:pStyle w:val="Default"/>
              <w:rPr>
                <w:sz w:val="18"/>
                <w:szCs w:val="18"/>
              </w:rPr>
            </w:pPr>
            <w:r>
              <w:rPr>
                <w:sz w:val="18"/>
                <w:szCs w:val="18"/>
              </w:rPr>
              <w:t xml:space="preserve">No </w:t>
            </w:r>
          </w:p>
        </w:tc>
      </w:tr>
      <w:tr w:rsidR="0026120B" w:rsidTr="0026120B">
        <w:trPr>
          <w:trHeight w:val="216"/>
        </w:trPr>
        <w:tc>
          <w:tcPr>
            <w:tcW w:w="3154" w:type="dxa"/>
            <w:tcBorders>
              <w:top w:val="single" w:sz="4" w:space="0" w:color="auto"/>
              <w:bottom w:val="single" w:sz="4" w:space="0" w:color="auto"/>
            </w:tcBorders>
          </w:tcPr>
          <w:p w:rsidR="0026120B" w:rsidRDefault="0026120B">
            <w:pPr>
              <w:pStyle w:val="Default"/>
              <w:rPr>
                <w:sz w:val="18"/>
                <w:szCs w:val="18"/>
              </w:rPr>
            </w:pPr>
            <w:r>
              <w:rPr>
                <w:sz w:val="18"/>
                <w:szCs w:val="18"/>
              </w:rPr>
              <w:t xml:space="preserve">OUTBUILDINGS OR FENCES </w:t>
            </w:r>
          </w:p>
          <w:p w:rsidR="0026120B" w:rsidRDefault="0026120B">
            <w:pPr>
              <w:pStyle w:val="Default"/>
              <w:rPr>
                <w:sz w:val="18"/>
                <w:szCs w:val="18"/>
              </w:rPr>
            </w:pPr>
            <w:r>
              <w:rPr>
                <w:sz w:val="18"/>
                <w:szCs w:val="18"/>
              </w:rPr>
              <w:t xml:space="preserve">(Which are not exempt under Clause 43.01-3) </w:t>
            </w:r>
          </w:p>
        </w:tc>
        <w:tc>
          <w:tcPr>
            <w:tcW w:w="3154" w:type="dxa"/>
            <w:tcBorders>
              <w:top w:val="single" w:sz="4" w:space="0" w:color="auto"/>
              <w:bottom w:val="single" w:sz="4" w:space="0" w:color="auto"/>
            </w:tcBorders>
          </w:tcPr>
          <w:p w:rsidR="0026120B" w:rsidRDefault="0026120B">
            <w:pPr>
              <w:pStyle w:val="Default"/>
              <w:rPr>
                <w:sz w:val="18"/>
                <w:szCs w:val="18"/>
              </w:rPr>
            </w:pPr>
            <w:r>
              <w:rPr>
                <w:sz w:val="18"/>
                <w:szCs w:val="18"/>
              </w:rPr>
              <w:t xml:space="preserve">No </w:t>
            </w:r>
          </w:p>
        </w:tc>
      </w:tr>
      <w:tr w:rsidR="0026120B" w:rsidTr="0026120B">
        <w:trPr>
          <w:trHeight w:val="89"/>
        </w:trPr>
        <w:tc>
          <w:tcPr>
            <w:tcW w:w="3154" w:type="dxa"/>
            <w:tcBorders>
              <w:top w:val="single" w:sz="4" w:space="0" w:color="auto"/>
              <w:bottom w:val="single" w:sz="4" w:space="0" w:color="auto"/>
            </w:tcBorders>
          </w:tcPr>
          <w:p w:rsidR="0026120B" w:rsidRDefault="0026120B">
            <w:pPr>
              <w:pStyle w:val="Default"/>
              <w:rPr>
                <w:sz w:val="18"/>
                <w:szCs w:val="18"/>
              </w:rPr>
            </w:pPr>
            <w:r>
              <w:rPr>
                <w:sz w:val="18"/>
                <w:szCs w:val="18"/>
              </w:rPr>
              <w:t xml:space="preserve">TO BE INCLUDED ON THE VICTORIAN HERITAGE REGISTER </w:t>
            </w:r>
          </w:p>
        </w:tc>
        <w:tc>
          <w:tcPr>
            <w:tcW w:w="3154" w:type="dxa"/>
            <w:tcBorders>
              <w:top w:val="single" w:sz="4" w:space="0" w:color="auto"/>
              <w:bottom w:val="single" w:sz="4" w:space="0" w:color="auto"/>
            </w:tcBorders>
          </w:tcPr>
          <w:p w:rsidR="0026120B" w:rsidRDefault="0026120B">
            <w:pPr>
              <w:pStyle w:val="Default"/>
              <w:rPr>
                <w:sz w:val="18"/>
                <w:szCs w:val="18"/>
              </w:rPr>
            </w:pPr>
            <w:r>
              <w:rPr>
                <w:sz w:val="18"/>
                <w:szCs w:val="18"/>
              </w:rPr>
              <w:t xml:space="preserve">No </w:t>
            </w:r>
          </w:p>
        </w:tc>
      </w:tr>
      <w:tr w:rsidR="0026120B" w:rsidTr="0026120B">
        <w:trPr>
          <w:trHeight w:val="89"/>
        </w:trPr>
        <w:tc>
          <w:tcPr>
            <w:tcW w:w="3154" w:type="dxa"/>
            <w:tcBorders>
              <w:top w:val="single" w:sz="4" w:space="0" w:color="auto"/>
              <w:bottom w:val="single" w:sz="4" w:space="0" w:color="auto"/>
            </w:tcBorders>
          </w:tcPr>
          <w:p w:rsidR="0026120B" w:rsidRDefault="0026120B">
            <w:pPr>
              <w:pStyle w:val="Default"/>
              <w:rPr>
                <w:sz w:val="18"/>
                <w:szCs w:val="18"/>
              </w:rPr>
            </w:pPr>
            <w:r>
              <w:rPr>
                <w:sz w:val="18"/>
                <w:szCs w:val="18"/>
              </w:rPr>
              <w:t xml:space="preserve">PROHIBITED USES MAY BE PERMITTED </w:t>
            </w:r>
          </w:p>
        </w:tc>
        <w:tc>
          <w:tcPr>
            <w:tcW w:w="3154" w:type="dxa"/>
            <w:tcBorders>
              <w:top w:val="single" w:sz="4" w:space="0" w:color="auto"/>
              <w:bottom w:val="single" w:sz="4" w:space="0" w:color="auto"/>
            </w:tcBorders>
          </w:tcPr>
          <w:p w:rsidR="0026120B" w:rsidRDefault="0026120B">
            <w:pPr>
              <w:pStyle w:val="Default"/>
              <w:rPr>
                <w:sz w:val="18"/>
                <w:szCs w:val="18"/>
              </w:rPr>
            </w:pPr>
            <w:r>
              <w:rPr>
                <w:sz w:val="18"/>
                <w:szCs w:val="18"/>
              </w:rPr>
              <w:t xml:space="preserve">No </w:t>
            </w:r>
          </w:p>
        </w:tc>
      </w:tr>
      <w:tr w:rsidR="0026120B" w:rsidTr="0026120B">
        <w:trPr>
          <w:trHeight w:val="89"/>
        </w:trPr>
        <w:tc>
          <w:tcPr>
            <w:tcW w:w="3154" w:type="dxa"/>
            <w:tcBorders>
              <w:top w:val="single" w:sz="4" w:space="0" w:color="auto"/>
              <w:bottom w:val="single" w:sz="4" w:space="0" w:color="auto"/>
            </w:tcBorders>
          </w:tcPr>
          <w:p w:rsidR="0026120B" w:rsidRDefault="0026120B">
            <w:pPr>
              <w:pStyle w:val="Default"/>
              <w:rPr>
                <w:sz w:val="18"/>
                <w:szCs w:val="18"/>
              </w:rPr>
            </w:pPr>
            <w:r>
              <w:rPr>
                <w:sz w:val="18"/>
                <w:szCs w:val="18"/>
              </w:rPr>
              <w:t xml:space="preserve">ABORIGINAL HERITAGE PLACE </w:t>
            </w:r>
          </w:p>
        </w:tc>
        <w:tc>
          <w:tcPr>
            <w:tcW w:w="3154" w:type="dxa"/>
            <w:tcBorders>
              <w:top w:val="single" w:sz="4" w:space="0" w:color="auto"/>
              <w:bottom w:val="single" w:sz="4" w:space="0" w:color="auto"/>
            </w:tcBorders>
          </w:tcPr>
          <w:p w:rsidR="0026120B" w:rsidRDefault="0026120B">
            <w:pPr>
              <w:pStyle w:val="Default"/>
              <w:rPr>
                <w:sz w:val="18"/>
                <w:szCs w:val="18"/>
              </w:rPr>
            </w:pPr>
            <w:r>
              <w:rPr>
                <w:sz w:val="18"/>
                <w:szCs w:val="18"/>
              </w:rPr>
              <w:t xml:space="preserve">No </w:t>
            </w:r>
          </w:p>
        </w:tc>
      </w:tr>
    </w:tbl>
    <w:p w:rsidR="00B63728" w:rsidRDefault="00B63728">
      <w:pPr>
        <w:rPr>
          <w:rFonts w:cs="Arial"/>
          <w:szCs w:val="24"/>
        </w:rPr>
      </w:pPr>
    </w:p>
    <w:p w:rsidR="0026120B" w:rsidRPr="0026120B" w:rsidRDefault="0026120B" w:rsidP="0026120B">
      <w:pPr>
        <w:autoSpaceDE w:val="0"/>
        <w:autoSpaceDN w:val="0"/>
        <w:adjustRightInd w:val="0"/>
        <w:rPr>
          <w:rFonts w:cs="Arial"/>
          <w:color w:val="000000"/>
          <w:sz w:val="20"/>
          <w:szCs w:val="20"/>
        </w:rPr>
      </w:pPr>
      <w:r w:rsidRPr="0026120B">
        <w:rPr>
          <w:rFonts w:cs="Arial"/>
          <w:b/>
          <w:bCs/>
          <w:color w:val="000000"/>
          <w:sz w:val="20"/>
          <w:szCs w:val="20"/>
        </w:rPr>
        <w:t xml:space="preserve">OTHER </w:t>
      </w:r>
    </w:p>
    <w:p w:rsidR="0026120B" w:rsidRDefault="0026120B" w:rsidP="0026120B">
      <w:pPr>
        <w:rPr>
          <w:rFonts w:cs="Arial"/>
          <w:szCs w:val="24"/>
        </w:rPr>
      </w:pPr>
      <w:r w:rsidRPr="0026120B">
        <w:rPr>
          <w:rFonts w:cs="Arial"/>
          <w:color w:val="000000"/>
          <w:sz w:val="20"/>
          <w:szCs w:val="20"/>
        </w:rPr>
        <w:t>N/A</w:t>
      </w:r>
    </w:p>
    <w:p w:rsidR="0026120B" w:rsidRDefault="0026120B">
      <w:pPr>
        <w:rPr>
          <w:rFonts w:cs="Arial"/>
          <w:szCs w:val="24"/>
        </w:rPr>
      </w:pPr>
    </w:p>
    <w:p w:rsidR="0026120B" w:rsidRDefault="0026120B">
      <w:pPr>
        <w:rPr>
          <w:rFonts w:cs="Arial"/>
          <w:szCs w:val="24"/>
        </w:rPr>
      </w:pPr>
      <w:r>
        <w:rPr>
          <w:rFonts w:cs="Arial"/>
          <w:szCs w:val="24"/>
        </w:rPr>
        <w:t>Figure 1</w:t>
      </w:r>
    </w:p>
    <w:p w:rsidR="00300D20" w:rsidRDefault="00300D20">
      <w:pPr>
        <w:rPr>
          <w:rFonts w:cs="Arial"/>
          <w:szCs w:val="24"/>
        </w:rPr>
      </w:pPr>
    </w:p>
    <w:p w:rsidR="00300D20" w:rsidRPr="00871ECA" w:rsidRDefault="00300D20">
      <w:pPr>
        <w:rPr>
          <w:rFonts w:cs="Arial"/>
          <w:szCs w:val="24"/>
        </w:rPr>
      </w:pPr>
      <w:r w:rsidRPr="00300D20">
        <w:rPr>
          <w:rFonts w:cs="Arial"/>
          <w:noProof/>
          <w:szCs w:val="24"/>
          <w:lang w:eastAsia="en-AU"/>
        </w:rPr>
        <w:drawing>
          <wp:inline distT="0" distB="0" distL="0" distR="0">
            <wp:extent cx="5731510" cy="4049545"/>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4049545"/>
                    </a:xfrm>
                    <a:prstGeom prst="rect">
                      <a:avLst/>
                    </a:prstGeom>
                    <a:noFill/>
                    <a:ln>
                      <a:noFill/>
                    </a:ln>
                  </pic:spPr>
                </pic:pic>
              </a:graphicData>
            </a:graphic>
          </wp:inline>
        </w:drawing>
      </w:r>
    </w:p>
    <w:sectPr w:rsidR="00300D20" w:rsidRPr="00871EC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EFC6A71"/>
    <w:multiLevelType w:val="hybridMultilevel"/>
    <w:tmpl w:val="2F0B342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60916940"/>
    <w:multiLevelType w:val="hybridMultilevel"/>
    <w:tmpl w:val="F5F6A55C"/>
    <w:lvl w:ilvl="0" w:tplc="C0A281FA">
      <w:numFmt w:val="bullet"/>
      <w:lvlText w:val="•"/>
      <w:lvlJc w:val="left"/>
      <w:pPr>
        <w:ind w:left="360" w:hanging="360"/>
      </w:pPr>
      <w:rPr>
        <w:rFonts w:ascii="Arial" w:eastAsiaTheme="minorHAnsi" w:hAnsi="Arial" w:cs="Arial"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6C8B5246"/>
    <w:multiLevelType w:val="hybridMultilevel"/>
    <w:tmpl w:val="2C6A29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120B"/>
    <w:rsid w:val="00117E79"/>
    <w:rsid w:val="0026120B"/>
    <w:rsid w:val="00300D20"/>
    <w:rsid w:val="007465E9"/>
    <w:rsid w:val="00871ECA"/>
    <w:rsid w:val="00AA0756"/>
    <w:rsid w:val="00B63728"/>
    <w:rsid w:val="00D960B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E41DA80-66FB-48B6-B9EC-FF1F07D61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7E79"/>
    <w:pPr>
      <w:spacing w:after="0" w:line="240" w:lineRule="auto"/>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6120B"/>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Pages>
  <Words>568</Words>
  <Characters>3028</Characters>
  <Application>Microsoft Office Word</Application>
  <DocSecurity>0</DocSecurity>
  <Lines>89</Lines>
  <Paragraphs>49</Paragraphs>
  <ScaleCrop>false</ScaleCrop>
  <HeadingPairs>
    <vt:vector size="2" baseType="variant">
      <vt:variant>
        <vt:lpstr>Title</vt:lpstr>
      </vt:variant>
      <vt:variant>
        <vt:i4>1</vt:i4>
      </vt:variant>
    </vt:vector>
  </HeadingPairs>
  <TitlesOfParts>
    <vt:vector size="1" baseType="lpstr">
      <vt:lpstr/>
    </vt:vector>
  </TitlesOfParts>
  <Company>Nillumbik Shire Council</Company>
  <LinksUpToDate>false</LinksUpToDate>
  <CharactersWithSpaces>3547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Paget</dc:creator>
  <cp:keywords/>
  <dc:description/>
  <cp:lastModifiedBy>Julie Paget</cp:lastModifiedBy>
  <cp:revision>3</cp:revision>
  <dcterms:created xsi:type="dcterms:W3CDTF">2021-04-22T01:48:00Z</dcterms:created>
  <dcterms:modified xsi:type="dcterms:W3CDTF">2021-04-22T03:04:00Z</dcterms:modified>
</cp:coreProperties>
</file>